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89b9a01b044c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673729b96d4415"/>
      <w:footerReference w:type="even" r:id="R63cc595a09384d71"/>
      <w:footerReference w:type="first" r:id="R8b920eb2312242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7d914704642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DFZ-2013-6620-XIV-NE-EI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96594200-9-929-1335</w:t>
            </w:r>
          </w:p>
        </w:tc>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697910</w:t>
            </w:r>
          </w:p>
        </w:tc>
        <w:tc>
          <w:tcPr>
            <w:tcW w:w="2310" w:type="auto"/>
          </w:tcPr>
          <w:p>
            <w:pPr/>
            <w:r>
              <w:rPr>
                <w:sz w:val="18"/>
                <w:szCs w:val="18"/>
              </w:rPr>
              <w:t>5573731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96594200-9-929-1335</w:t>
            </w:r>
          </w:p>
        </w:tc>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6bfa2174144a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a602dca7d465e" /><Relationship Type="http://schemas.openxmlformats.org/officeDocument/2006/relationships/numbering" Target="/word/numbering.xml" Id="R7e0f095931f845f3" /><Relationship Type="http://schemas.openxmlformats.org/officeDocument/2006/relationships/settings" Target="/word/settings.xml" Id="Ra778e362cde540a1" /><Relationship Type="http://schemas.openxmlformats.org/officeDocument/2006/relationships/image" Target="/word/media/83026809-e440-4d67-acc1-159e2b840a64.png" Id="Rddd7d91470464293" /><Relationship Type="http://schemas.openxmlformats.org/officeDocument/2006/relationships/footer" Target="/word/footer1.xml" Id="R0d673729b96d4415" /><Relationship Type="http://schemas.openxmlformats.org/officeDocument/2006/relationships/footer" Target="/word/footer2.xml" Id="R63cc595a09384d71" /><Relationship Type="http://schemas.openxmlformats.org/officeDocument/2006/relationships/footer" Target="/word/footer3.xml" Id="R8b920eb2312242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bfa2174144a80" /></Relationships>
</file>