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661dbce7344c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3a537536fe41ce"/>
      <w:footerReference w:type="even" r:id="Rea3d81f788244be3"/>
      <w:footerReference w:type="first" r:id="R16ef316316254e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9cf4271d524b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DFZ-2014-34-VIII-NE-EI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921e63039148f0"/>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TRANSPORTE@EMPRESASHN.CL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r>
              <w:rPr>
                <w:sz w:val="18"/>
                <w:szCs w:val="18"/>
              </w:rPr>
              <w:t>3267</w:t>
            </w:r>
          </w:p>
        </w:tc>
        <w:tc>
          <w:tcPr>
            <w:tcW w:w="2310" w:type="auto"/>
          </w:tcPr>
          <w:p>
            <w:pPr/>
            <w:r>
              <w:rPr>
                <w:sz w:val="18"/>
                <w:szCs w:val="18"/>
              </w:rPr>
              <w:t>04-09-2009</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e00f17b1d0841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6d7f596a604ebc" /><Relationship Type="http://schemas.openxmlformats.org/officeDocument/2006/relationships/numbering" Target="/word/numbering.xml" Id="R35b2a0afeecd4935" /><Relationship Type="http://schemas.openxmlformats.org/officeDocument/2006/relationships/settings" Target="/word/settings.xml" Id="R8574c1094d514d4c" /><Relationship Type="http://schemas.openxmlformats.org/officeDocument/2006/relationships/image" Target="/word/media/bd5193ad-0b7a-4aa7-98d4-ae0eb06ffe06.png" Id="R4c9cf4271d524bd0" /><Relationship Type="http://schemas.openxmlformats.org/officeDocument/2006/relationships/image" Target="/word/media/7ca00149-4f73-40f8-8e83-a7e417c3f020.png" Id="Rdd921e63039148f0" /><Relationship Type="http://schemas.openxmlformats.org/officeDocument/2006/relationships/footer" Target="/word/footer1.xml" Id="Ra53a537536fe41ce" /><Relationship Type="http://schemas.openxmlformats.org/officeDocument/2006/relationships/footer" Target="/word/footer2.xml" Id="Rea3d81f788244be3" /><Relationship Type="http://schemas.openxmlformats.org/officeDocument/2006/relationships/footer" Target="/word/footer3.xml" Id="R16ef316316254e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00f17b1d0841eb" /></Relationships>
</file>