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165cd858954e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b1249366f6494b"/>
      <w:footerReference w:type="even" r:id="Rddf6f381f84145d9"/>
      <w:footerReference w:type="first" r:id="R0ee7c108733749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5f269e7c24c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DFZ-2015-1354-IX-NE-EI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37740cab4b4d3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4b3762da194a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17adfe9d7e44af" /><Relationship Type="http://schemas.openxmlformats.org/officeDocument/2006/relationships/numbering" Target="/word/numbering.xml" Id="Rc951d8bc71fc42e6" /><Relationship Type="http://schemas.openxmlformats.org/officeDocument/2006/relationships/settings" Target="/word/settings.xml" Id="R8aabf79f300746d9" /><Relationship Type="http://schemas.openxmlformats.org/officeDocument/2006/relationships/image" Target="/word/media/3edb0141-c380-475f-89bf-67559cce6d77.png" Id="R7735f269e7c24c28" /><Relationship Type="http://schemas.openxmlformats.org/officeDocument/2006/relationships/image" Target="/word/media/b25f6463-bebf-4e5a-8749-9ce5b0e350b1.png" Id="Ra637740cab4b4d33" /><Relationship Type="http://schemas.openxmlformats.org/officeDocument/2006/relationships/footer" Target="/word/footer1.xml" Id="R65b1249366f6494b" /><Relationship Type="http://schemas.openxmlformats.org/officeDocument/2006/relationships/footer" Target="/word/footer2.xml" Id="Rddf6f381f84145d9" /><Relationship Type="http://schemas.openxmlformats.org/officeDocument/2006/relationships/footer" Target="/word/footer3.xml" Id="R0ee7c108733749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4b3762da194ad1" /></Relationships>
</file>