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f24234727f47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fb5d5413b144aa"/>
      <w:footerReference w:type="even" r:id="Rad05c8b2d14942db"/>
      <w:footerReference w:type="first" r:id="R69f6919cf3b646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4e92f52f8848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DFZ-2015-1284-XIV-NE-EI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c222ca87ae439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ed6031a54d4e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f21ad5f8984f13" /><Relationship Type="http://schemas.openxmlformats.org/officeDocument/2006/relationships/numbering" Target="/word/numbering.xml" Id="R2dfc4e4e9b664942" /><Relationship Type="http://schemas.openxmlformats.org/officeDocument/2006/relationships/settings" Target="/word/settings.xml" Id="R48450b119dc74c5f" /><Relationship Type="http://schemas.openxmlformats.org/officeDocument/2006/relationships/image" Target="/word/media/9057efe0-0b00-4c89-82d6-80f10c33903b.png" Id="R024e92f52f88488b" /><Relationship Type="http://schemas.openxmlformats.org/officeDocument/2006/relationships/image" Target="/word/media/9a111ee5-8d11-46b9-afa5-636a95c52f6d.png" Id="R0ac222ca87ae4390" /><Relationship Type="http://schemas.openxmlformats.org/officeDocument/2006/relationships/footer" Target="/word/footer1.xml" Id="Rdafb5d5413b144aa" /><Relationship Type="http://schemas.openxmlformats.org/officeDocument/2006/relationships/footer" Target="/word/footer2.xml" Id="Rad05c8b2d14942db" /><Relationship Type="http://schemas.openxmlformats.org/officeDocument/2006/relationships/footer" Target="/word/footer3.xml" Id="R69f6919cf3b646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ed6031a54d4e78" /></Relationships>
</file>