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a146003a794f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d8e3aaf108424d"/>
      <w:footerReference w:type="even" r:id="R4d79657a78dc4ea7"/>
      <w:footerReference w:type="first" r:id="R7d68cc2742124b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fd85b72f044f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DFZ-2015-1293-IX-NE-EI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b8695b2ecc480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cdf6c2b8c04e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15337aa9744b10" /><Relationship Type="http://schemas.openxmlformats.org/officeDocument/2006/relationships/numbering" Target="/word/numbering.xml" Id="R3cbee89588564cff" /><Relationship Type="http://schemas.openxmlformats.org/officeDocument/2006/relationships/settings" Target="/word/settings.xml" Id="R77f8d90ea52941aa" /><Relationship Type="http://schemas.openxmlformats.org/officeDocument/2006/relationships/image" Target="/word/media/7a9cfdd3-f92f-4b28-8ab1-2fe0fb79f015.png" Id="R08fd85b72f044f3a" /><Relationship Type="http://schemas.openxmlformats.org/officeDocument/2006/relationships/image" Target="/word/media/5faa7d4e-dc03-457f-aabb-8a4d7b7728dc.png" Id="R2bb8695b2ecc480f" /><Relationship Type="http://schemas.openxmlformats.org/officeDocument/2006/relationships/footer" Target="/word/footer1.xml" Id="R03d8e3aaf108424d" /><Relationship Type="http://schemas.openxmlformats.org/officeDocument/2006/relationships/footer" Target="/word/footer2.xml" Id="R4d79657a78dc4ea7" /><Relationship Type="http://schemas.openxmlformats.org/officeDocument/2006/relationships/footer" Target="/word/footer3.xml" Id="R7d68cc2742124b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cdf6c2b8c04e73" /></Relationships>
</file>