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b7be9da8944e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e4e64a822949b9"/>
      <w:footerReference w:type="even" r:id="R3eda3249949f4ff4"/>
      <w:footerReference w:type="first" r:id="R5768ba4dacfd44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6815113b9d44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DFZ-2014-911-VII-NE-EI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OCTUBRE del año 2013.</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99537670-9-28-263</w:t>
            </w:r>
          </w:p>
        </w:tc>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99537670-9-28-263</w:t>
            </w:r>
          </w:p>
        </w:tc>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volumen de descarga informado excede el valor límite indicado en su programa de monitoreo.</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remuestreo para el período controlado.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352ab0944e34b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014859087942fc" /><Relationship Type="http://schemas.openxmlformats.org/officeDocument/2006/relationships/numbering" Target="/word/numbering.xml" Id="R968be34f38fe475e" /><Relationship Type="http://schemas.openxmlformats.org/officeDocument/2006/relationships/settings" Target="/word/settings.xml" Id="Rb93fd48365e341ed" /><Relationship Type="http://schemas.openxmlformats.org/officeDocument/2006/relationships/image" Target="/word/media/a94d6bd3-802f-49cb-8b2b-074cb893d7cd.png" Id="R906815113b9d44ff" /><Relationship Type="http://schemas.openxmlformats.org/officeDocument/2006/relationships/footer" Target="/word/footer1.xml" Id="R1be4e64a822949b9" /><Relationship Type="http://schemas.openxmlformats.org/officeDocument/2006/relationships/footer" Target="/word/footer2.xml" Id="R3eda3249949f4ff4" /><Relationship Type="http://schemas.openxmlformats.org/officeDocument/2006/relationships/footer" Target="/word/footer3.xml" Id="R5768ba4dacfd44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52ab0944e34b88" /></Relationships>
</file>