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009608574d4b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9d3dcd1edc4ce2"/>
      <w:footerReference w:type="even" r:id="Raf7b756ccbff4a94"/>
      <w:footerReference w:type="first" r:id="R3feb369ecabf40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7dcdd3c6bf49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DFZ-2014-884-XI-NE-EI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37b319ce9468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96598900-5-1-1</w:t>
            </w:r>
          </w:p>
        </w:tc>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734380</w:t>
            </w:r>
          </w:p>
        </w:tc>
        <w:tc>
          <w:tcPr>
            <w:tcW w:w="2310" w:type="auto"/>
          </w:tcPr>
          <w:p>
            <w:pPr/>
            <w:r>
              <w:rPr>
                <w:sz w:val="18"/>
                <w:szCs w:val="18"/>
              </w:rPr>
              <w:t>4958840</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96598900-5-1-1</w:t>
            </w:r>
          </w:p>
        </w:tc>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743224922047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190ef17e364bbd" /><Relationship Type="http://schemas.openxmlformats.org/officeDocument/2006/relationships/numbering" Target="/word/numbering.xml" Id="R21aa7aaf61ef4aeb" /><Relationship Type="http://schemas.openxmlformats.org/officeDocument/2006/relationships/settings" Target="/word/settings.xml" Id="R77ab42d808a246e5" /><Relationship Type="http://schemas.openxmlformats.org/officeDocument/2006/relationships/image" Target="/word/media/ea468eb1-8311-460c-97db-53e686cf58ac.png" Id="R817dcdd3c6bf4906" /><Relationship Type="http://schemas.openxmlformats.org/officeDocument/2006/relationships/image" Target="/word/media/3b52e658-ccd6-437d-96ee-b0436738a5ad.png" Id="R0da37b319ce94685" /><Relationship Type="http://schemas.openxmlformats.org/officeDocument/2006/relationships/footer" Target="/word/footer1.xml" Id="R1a9d3dcd1edc4ce2" /><Relationship Type="http://schemas.openxmlformats.org/officeDocument/2006/relationships/footer" Target="/word/footer2.xml" Id="Raf7b756ccbff4a94" /><Relationship Type="http://schemas.openxmlformats.org/officeDocument/2006/relationships/footer" Target="/word/footer3.xml" Id="R3feb369ecabf40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74322492204721" /></Relationships>
</file>