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0940f6b3c43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4925d141674c4f"/>
      <w:footerReference w:type="even" r:id="R06cb1aa98dab488c"/>
      <w:footerReference w:type="first" r:id="R23e4fb45c37243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43ed0799144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DFZ-2014-1491-XIII-NE-EI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9b273268e14ad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1a72e6273348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521d38c9a741a9" /><Relationship Type="http://schemas.openxmlformats.org/officeDocument/2006/relationships/numbering" Target="/word/numbering.xml" Id="R8b75c1c92c944a7c" /><Relationship Type="http://schemas.openxmlformats.org/officeDocument/2006/relationships/settings" Target="/word/settings.xml" Id="R09476529f5bd4b09" /><Relationship Type="http://schemas.openxmlformats.org/officeDocument/2006/relationships/image" Target="/word/media/42973a15-88e1-485b-8f4e-bca29762a56f.png" Id="R1b443ed079914465" /><Relationship Type="http://schemas.openxmlformats.org/officeDocument/2006/relationships/image" Target="/word/media/bd1e641c-1371-406f-aada-2b60f225a764.png" Id="R429b273268e14ad0" /><Relationship Type="http://schemas.openxmlformats.org/officeDocument/2006/relationships/footer" Target="/word/footer1.xml" Id="R374925d141674c4f" /><Relationship Type="http://schemas.openxmlformats.org/officeDocument/2006/relationships/footer" Target="/word/footer2.xml" Id="R06cb1aa98dab488c" /><Relationship Type="http://schemas.openxmlformats.org/officeDocument/2006/relationships/footer" Target="/word/footer3.xml" Id="R23e4fb45c37243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1a72e627334886" /></Relationships>
</file>