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e291dd0efe45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9857a5a3e544d1"/>
      <w:footerReference w:type="even" r:id="R8a6833b8b3fc4ae3"/>
      <w:footerReference w:type="first" r:id="Rcc11279d48ca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5f9b6ecc8f47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DFZ-2015-1068-XI-NE-EI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ed4f12312d494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e44e4802f34d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05199c0e24eae" /><Relationship Type="http://schemas.openxmlformats.org/officeDocument/2006/relationships/numbering" Target="/word/numbering.xml" Id="R4c2e9e1c631b4bf9" /><Relationship Type="http://schemas.openxmlformats.org/officeDocument/2006/relationships/settings" Target="/word/settings.xml" Id="R673c86b13dcc4abb" /><Relationship Type="http://schemas.openxmlformats.org/officeDocument/2006/relationships/image" Target="/word/media/e5f13cf0-c668-47be-967e-b39aacd32955.png" Id="R4d5f9b6ecc8f47db" /><Relationship Type="http://schemas.openxmlformats.org/officeDocument/2006/relationships/image" Target="/word/media/d754b69c-0da0-4b57-9104-03e42e7d2545.png" Id="R02ed4f12312d494f" /><Relationship Type="http://schemas.openxmlformats.org/officeDocument/2006/relationships/footer" Target="/word/footer1.xml" Id="Ra89857a5a3e544d1" /><Relationship Type="http://schemas.openxmlformats.org/officeDocument/2006/relationships/footer" Target="/word/footer2.xml" Id="R8a6833b8b3fc4ae3" /><Relationship Type="http://schemas.openxmlformats.org/officeDocument/2006/relationships/footer" Target="/word/footer3.xml" Id="Rcc11279d48ca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e44e4802f34ddb" /></Relationships>
</file>