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8bfa68e45ee45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b8dbe984c184e2a"/>
      <w:footerReference w:type="even" r:id="Rb323612fcb664478"/>
      <w:footerReference w:type="first" r:id="R2c7cda15420f40c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9073878ad6a450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MAINSTREAM S.A. (PISCICULTURA CONFLUENCIA)</w:t>
      </w:r>
    </w:p>
    <w:p>
      <w:pPr>
        <w:jc w:val="center"/>
      </w:pPr>
      <w:r>
        <w:rPr>
          <w:sz w:val="32"/>
          <w:szCs w:val="32"/>
          <w:b/>
        </w:rPr>
        <w:br/>
      </w:r>
      <w:r>
        <w:rPr>
          <w:sz w:val="32"/>
          <w:szCs w:val="32"/>
          <w:b/>
        </w:rPr>
        <w:t>DFZ-2013-5317-IX-NE-EI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5b96379d84743a0"/>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MAINSTREAM S.A. (PISCICULTURA CONFLUENCIA)”, en el marco de la norma de emisión DS.90/00 para el reporte del período correspondiente a MARZO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MAINSTREAM S.A.</w:t>
            </w:r>
          </w:p>
        </w:tc>
        <w:tc>
          <w:tcPr>
            <w:tcW w:w="2310" w:type="pct"/>
            <w:gridSpan w:val="2"/>
          </w:tcPr>
          <w:p>
            <w:pPr/>
            <w:r>
              <w:rPr>
                <w:b/>
              </w:rPr>
              <w:t>RUT o RUN:</w:t>
            </w:r>
            <w:r>
              <w:br/>
            </w:r>
            <w:r>
              <w:t>77424630-4</w:t>
            </w:r>
          </w:p>
        </w:tc>
      </w:tr>
      <w:tr>
        <w:tc>
          <w:tcPr>
            <w:tcW w:w="2310" w:type="pct"/>
            <w:gridSpan w:val="4"/>
          </w:tcPr>
          <w:p>
            <w:pPr/>
            <w:r>
              <w:rPr>
                <w:b/>
              </w:rPr>
              <w:t>Identificación de la actividad, proyecto o fuente fiscalizada:</w:t>
            </w:r>
            <w:r>
              <w:br/>
            </w:r>
            <w:r>
              <w:t>SALMONES MAINSTREAM S.A. (PISCICULTURA CONFLUENCIA)</w:t>
            </w:r>
          </w:p>
        </w:tc>
      </w:tr>
      <w:tr>
        <w:tc>
          <w:tcPr>
            <w:tcW w:w="15000" w:type="dxa"/>
          </w:tcPr>
          <w:p>
            <w:pPr/>
            <w:r>
              <w:rPr>
                <w:b/>
              </w:rPr>
              <w:t>Dirección:</w:t>
            </w:r>
            <w:r>
              <w:br/>
            </w:r>
            <w:r>
              <w:t>SECTOR EL SALTO-LOMOCURA (KM 17,6 CAMINO CUNCO-MELIPEUCO)</w:t>
            </w:r>
          </w:p>
        </w:tc>
        <w:tc>
          <w:tcPr>
            <w:tcW w:w="15000" w:type="dxa"/>
          </w:tcPr>
          <w:p>
            <w:pPr/>
            <w:r>
              <w:rPr>
                <w:b/>
              </w:rPr>
              <w:t>Región:</w:t>
            </w:r>
            <w:r>
              <w:br/>
            </w:r>
            <w:r>
              <w:t>IX REGIÓN DE LA ARAUCANÍA</w:t>
            </w:r>
          </w:p>
        </w:tc>
        <w:tc>
          <w:tcPr>
            <w:tcW w:w="15000" w:type="dxa"/>
          </w:tcPr>
          <w:p>
            <w:pPr/>
            <w:r>
              <w:rPr>
                <w:b/>
              </w:rPr>
              <w:t>Provincia:</w:t>
            </w:r>
            <w:r>
              <w:br/>
            </w:r>
            <w:r>
              <w:t>CAUTÍN</w:t>
            </w:r>
          </w:p>
        </w:tc>
        <w:tc>
          <w:tcPr>
            <w:tcW w:w="15000" w:type="dxa"/>
          </w:tcPr>
          <w:p>
            <w:pPr/>
            <w:r>
              <w:rPr>
                <w:b/>
              </w:rPr>
              <w:t>Comuna:</w:t>
            </w:r>
            <w:r>
              <w:br/>
            </w:r>
            <w:r>
              <w:t>CUNCO</w:t>
            </w:r>
          </w:p>
        </w:tc>
      </w:tr>
      <w:tr>
        <w:tc>
          <w:tcPr>
            <w:tcW w:w="2310" w:type="pct"/>
            <w:gridSpan w:val="2"/>
          </w:tcPr>
          <w:p>
            <w:pPr/>
            <w:r>
              <w:rPr>
                <w:b/>
              </w:rPr>
              <w:t>Correo electrónico:</w:t>
            </w:r>
            <w:r>
              <w:br/>
            </w:r>
            <w:r>
              <w:t>VERONICA.GONZALEZ@SMA.GOB.CL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5472 de fecha 10-12-2012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77424630-4-1209-1642</w:t>
            </w:r>
          </w:p>
        </w:tc>
        <w:tc>
          <w:tcPr>
            <w:tcW w:w="2310" w:type="auto"/>
          </w:tcPr>
          <w:p>
            <w:pPr/>
            <w:r>
              <w:rPr>
                <w:sz w:val="18"/>
                <w:szCs w:val="18"/>
              </w:rPr>
              <w:t>PUNTO 1</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AGOSTO</w:t>
            </w:r>
          </w:p>
        </w:tc>
        <w:tc>
          <w:tcPr>
            <w:tcW w:w="2310" w:type="auto"/>
          </w:tcPr>
          <w:p>
            <w:pPr/>
            <w:r>
              <w:rPr>
                <w:sz w:val="18"/>
                <w:szCs w:val="18"/>
              </w:rPr>
              <w:t>ESTERO CONFLUENCIA - IX REGION</w:t>
            </w:r>
          </w:p>
        </w:tc>
        <w:tc>
          <w:tcPr>
            <w:tcW w:w="2310" w:type="auto"/>
          </w:tcPr>
          <w:p>
            <w:pPr/>
            <w:r>
              <w:rPr>
                <w:sz w:val="18"/>
                <w:szCs w:val="18"/>
              </w:rPr>
              <w:t>13041</w:t>
            </w:r>
          </w:p>
        </w:tc>
        <w:tc>
          <w:tcPr>
            <w:tcW w:w="2310" w:type="auto"/>
          </w:tcPr>
          <w:p>
            <w:pPr/>
            <w:r>
              <w:rPr>
                <w:sz w:val="18"/>
                <w:szCs w:val="18"/>
              </w:rPr>
              <w:t>42</w:t>
            </w:r>
          </w:p>
        </w:tc>
        <w:tc>
          <w:tcPr>
            <w:tcW w:w="2310" w:type="auto"/>
          </w:tcPr>
          <w:p>
            <w:pPr/>
          </w:p>
        </w:tc>
        <w:tc>
          <w:tcPr>
            <w:tcW w:w="2310" w:type="auto"/>
          </w:tcPr>
          <w:p>
            <w:pPr/>
            <w:r>
              <w:rPr>
                <w:sz w:val="18"/>
                <w:szCs w:val="18"/>
              </w:rPr>
              <w:t>250677</w:t>
            </w:r>
          </w:p>
        </w:tc>
        <w:tc>
          <w:tcPr>
            <w:tcW w:w="2310" w:type="auto"/>
          </w:tcPr>
          <w:p>
            <w:pPr/>
            <w:r>
              <w:rPr>
                <w:sz w:val="18"/>
                <w:szCs w:val="18"/>
              </w:rPr>
              <w:t>5694612</w:t>
            </w:r>
          </w:p>
        </w:tc>
        <w:tc>
          <w:tcPr>
            <w:tcW w:w="2310" w:type="auto"/>
          </w:tcPr>
          <w:p>
            <w:pPr/>
            <w:r>
              <w:rPr>
                <w:sz w:val="18"/>
                <w:szCs w:val="18"/>
              </w:rPr>
              <w:t>5472</w:t>
            </w:r>
          </w:p>
        </w:tc>
        <w:tc>
          <w:tcPr>
            <w:tcW w:w="2310" w:type="auto"/>
          </w:tcPr>
          <w:p>
            <w:pPr/>
            <w:r>
              <w:rPr>
                <w:sz w:val="18"/>
                <w:szCs w:val="18"/>
              </w:rPr>
              <w:t>10-12-2012</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77424630-4-1209-1642</w:t>
            </w:r>
          </w:p>
        </w:tc>
        <w:tc>
          <w:tcPr>
            <w:tcW w:w="2310" w:type="auto"/>
          </w:tcPr>
          <w:p>
            <w:pPr>
              <w:jc w:val="center"/>
            </w:pPr>
            <w:r>
              <w:rPr>
                <w:sz w:val="18"/>
                <w:szCs w:val="18"/>
              </w:rPr>
              <w:t>PUNTO 1</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fee90dd842a7403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1c1ec08055c4530" /><Relationship Type="http://schemas.openxmlformats.org/officeDocument/2006/relationships/numbering" Target="/word/numbering.xml" Id="R35c1f8f1541644dd" /><Relationship Type="http://schemas.openxmlformats.org/officeDocument/2006/relationships/settings" Target="/word/settings.xml" Id="Re167074994864eb8" /><Relationship Type="http://schemas.openxmlformats.org/officeDocument/2006/relationships/image" Target="/word/media/2b587664-7771-4b5c-a308-73a3f6364a87.png" Id="Rc9073878ad6a450d" /><Relationship Type="http://schemas.openxmlformats.org/officeDocument/2006/relationships/image" Target="/word/media/892a3245-fdaa-4d05-931e-bb5d9693ca22.png" Id="R55b96379d84743a0" /><Relationship Type="http://schemas.openxmlformats.org/officeDocument/2006/relationships/footer" Target="/word/footer1.xml" Id="R5b8dbe984c184e2a" /><Relationship Type="http://schemas.openxmlformats.org/officeDocument/2006/relationships/footer" Target="/word/footer2.xml" Id="Rb323612fcb664478" /><Relationship Type="http://schemas.openxmlformats.org/officeDocument/2006/relationships/footer" Target="/word/footer3.xml" Id="R2c7cda15420f40c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ee90dd842a74038" /></Relationships>
</file>