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bd5563e46b4d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0297b692c64aee"/>
      <w:footerReference w:type="even" r:id="R1f28c018ef17436a"/>
      <w:footerReference w:type="first" r:id="R859924dd8e4c40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b4f00e76242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DFZ-2015-714-IX-NE-EI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5a4f5d352049e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15d39b68c543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f838801244399" /><Relationship Type="http://schemas.openxmlformats.org/officeDocument/2006/relationships/numbering" Target="/word/numbering.xml" Id="R3518bb4f6d7742cb" /><Relationship Type="http://schemas.openxmlformats.org/officeDocument/2006/relationships/settings" Target="/word/settings.xml" Id="R1fa143682b4640c0" /><Relationship Type="http://schemas.openxmlformats.org/officeDocument/2006/relationships/image" Target="/word/media/13b98df4-e835-402f-bc8a-08fb375a56b3.png" Id="R7f1b4f00e762429f" /><Relationship Type="http://schemas.openxmlformats.org/officeDocument/2006/relationships/image" Target="/word/media/56b4934e-ccd9-4897-9665-b4253aed4085.png" Id="R695a4f5d352049e5" /><Relationship Type="http://schemas.openxmlformats.org/officeDocument/2006/relationships/footer" Target="/word/footer1.xml" Id="R1c0297b692c64aee" /><Relationship Type="http://schemas.openxmlformats.org/officeDocument/2006/relationships/footer" Target="/word/footer2.xml" Id="R1f28c018ef17436a" /><Relationship Type="http://schemas.openxmlformats.org/officeDocument/2006/relationships/footer" Target="/word/footer3.xml" Id="R859924dd8e4c40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15d39b68c543f3" /></Relationships>
</file>