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f71e012684b4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5b919916cb94781"/>
      <w:footerReference w:type="even" r:id="R8bbeacd233c84251"/>
      <w:footerReference w:type="first" r:id="Rc21494508ad44bb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9963bfc10d4ea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DFZ-2015-711-XIII-NE-EI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af8d4c4fbe4af3"/>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JULIO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JULIO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22a45c9bc9b4da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4b7062d58d747e1" /><Relationship Type="http://schemas.openxmlformats.org/officeDocument/2006/relationships/numbering" Target="/word/numbering.xml" Id="R3fa05ec5b8fc471d" /><Relationship Type="http://schemas.openxmlformats.org/officeDocument/2006/relationships/settings" Target="/word/settings.xml" Id="R6351325f649a45ad" /><Relationship Type="http://schemas.openxmlformats.org/officeDocument/2006/relationships/image" Target="/word/media/b5727b9f-dc69-4a0d-946c-2eb507687568.png" Id="Rfb9963bfc10d4ea9" /><Relationship Type="http://schemas.openxmlformats.org/officeDocument/2006/relationships/image" Target="/word/media/b2fcdd07-cd4f-4ce6-8bb4-dc479ba86966.png" Id="Rcaaf8d4c4fbe4af3" /><Relationship Type="http://schemas.openxmlformats.org/officeDocument/2006/relationships/footer" Target="/word/footer1.xml" Id="Rb5b919916cb94781" /><Relationship Type="http://schemas.openxmlformats.org/officeDocument/2006/relationships/footer" Target="/word/footer2.xml" Id="R8bbeacd233c84251" /><Relationship Type="http://schemas.openxmlformats.org/officeDocument/2006/relationships/footer" Target="/word/footer3.xml" Id="Rc21494508ad44bb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22a45c9bc9b4daa" /></Relationships>
</file>