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b8582e87344d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08adfad6c4cea"/>
      <w:footerReference w:type="even" r:id="R2b4edb40e9b8481d"/>
      <w:footerReference w:type="first" r:id="R375e10fe23514d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c766a6118d42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DFZ-2013-5591-IX-NE-EI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d7401c09f14c0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4a753541944d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7b7f31bc24cb8" /><Relationship Type="http://schemas.openxmlformats.org/officeDocument/2006/relationships/numbering" Target="/word/numbering.xml" Id="Ra286a749947a4f74" /><Relationship Type="http://schemas.openxmlformats.org/officeDocument/2006/relationships/settings" Target="/word/settings.xml" Id="Rde023d7fa3604802" /><Relationship Type="http://schemas.openxmlformats.org/officeDocument/2006/relationships/image" Target="/word/media/36ffbed7-6a3b-4171-b20a-da14e3a69eeb.png" Id="R38c766a6118d42dd" /><Relationship Type="http://schemas.openxmlformats.org/officeDocument/2006/relationships/image" Target="/word/media/00190b71-087e-46cb-bb77-b64efdfa9be2.png" Id="R91d7401c09f14c06" /><Relationship Type="http://schemas.openxmlformats.org/officeDocument/2006/relationships/footer" Target="/word/footer1.xml" Id="R73708adfad6c4cea" /><Relationship Type="http://schemas.openxmlformats.org/officeDocument/2006/relationships/footer" Target="/word/footer2.xml" Id="R2b4edb40e9b8481d" /><Relationship Type="http://schemas.openxmlformats.org/officeDocument/2006/relationships/footer" Target="/word/footer3.xml" Id="R375e10fe23514d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4a753541944da1" /></Relationships>
</file>