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f6491005db40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6b69e6db084d82"/>
      <w:footerReference w:type="even" r:id="Re7c1117ac1dd41ef"/>
      <w:footerReference w:type="first" r:id="Rf47c1596606747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8ee41e1fe849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DFZ-2013-6176-IX-NE-EI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05f1744f344af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3189619-3-1-1</w:t>
            </w:r>
          </w:p>
        </w:tc>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752300</w:t>
            </w:r>
          </w:p>
        </w:tc>
        <w:tc>
          <w:tcPr>
            <w:tcW w:w="2310" w:type="auto"/>
          </w:tcPr>
          <w:p>
            <w:pPr/>
            <w:r>
              <w:rPr>
                <w:sz w:val="18"/>
                <w:szCs w:val="18"/>
              </w:rPr>
              <w:t>5645800</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3189619-3-1-284</w:t>
            </w:r>
          </w:p>
        </w:tc>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752700</w:t>
            </w:r>
          </w:p>
        </w:tc>
        <w:tc>
          <w:tcPr>
            <w:tcW w:w="2310" w:type="auto"/>
          </w:tcPr>
          <w:p>
            <w:pPr/>
            <w:r>
              <w:rPr>
                <w:sz w:val="18"/>
                <w:szCs w:val="18"/>
              </w:rPr>
              <w:t>5645900</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3189619-3-1-1</w:t>
            </w:r>
          </w:p>
        </w:tc>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3189619-3-1-284</w:t>
            </w:r>
          </w:p>
        </w:tc>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ffd923529a46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92fa6dbc204477" /><Relationship Type="http://schemas.openxmlformats.org/officeDocument/2006/relationships/numbering" Target="/word/numbering.xml" Id="R5d41bb63f47e49d9" /><Relationship Type="http://schemas.openxmlformats.org/officeDocument/2006/relationships/settings" Target="/word/settings.xml" Id="R2b1956c219f24661" /><Relationship Type="http://schemas.openxmlformats.org/officeDocument/2006/relationships/image" Target="/word/media/138463a9-c6b8-4ddc-8053-572e24ade231.png" Id="R2a8ee41e1fe8494f" /><Relationship Type="http://schemas.openxmlformats.org/officeDocument/2006/relationships/image" Target="/word/media/d2e7b090-b027-428b-bf11-ebf7f3d85d73.png" Id="R9005f1744f344afa" /><Relationship Type="http://schemas.openxmlformats.org/officeDocument/2006/relationships/footer" Target="/word/footer1.xml" Id="R086b69e6db084d82" /><Relationship Type="http://schemas.openxmlformats.org/officeDocument/2006/relationships/footer" Target="/word/footer2.xml" Id="Re7c1117ac1dd41ef" /><Relationship Type="http://schemas.openxmlformats.org/officeDocument/2006/relationships/footer" Target="/word/footer3.xml" Id="Rf47c1596606747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ffd923529a463c" /></Relationships>
</file>