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3c9814a5e64e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670122ed88458a"/>
      <w:footerReference w:type="even" r:id="R72c9be9a5aa34739"/>
      <w:footerReference w:type="first" r:id="Rd12c0cd28fa044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4461e3fc1643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DFZ-2013-5265-VII-NE-EI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f84cf50bd4cd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ee69f25fbe42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02e5d6d3d42a7" /><Relationship Type="http://schemas.openxmlformats.org/officeDocument/2006/relationships/numbering" Target="/word/numbering.xml" Id="Read432d4cb6b4406" /><Relationship Type="http://schemas.openxmlformats.org/officeDocument/2006/relationships/settings" Target="/word/settings.xml" Id="Re4675aa540444b55" /><Relationship Type="http://schemas.openxmlformats.org/officeDocument/2006/relationships/image" Target="/word/media/8270e04c-4c0c-41bb-85d7-d78704343f6d.png" Id="R7e4461e3fc1643d1" /><Relationship Type="http://schemas.openxmlformats.org/officeDocument/2006/relationships/image" Target="/word/media/a3804d5d-318d-469e-962c-3643fa8c3893.png" Id="R6b7f84cf50bd4cd2" /><Relationship Type="http://schemas.openxmlformats.org/officeDocument/2006/relationships/footer" Target="/word/footer1.xml" Id="Re7670122ed88458a" /><Relationship Type="http://schemas.openxmlformats.org/officeDocument/2006/relationships/footer" Target="/word/footer2.xml" Id="R72c9be9a5aa34739" /><Relationship Type="http://schemas.openxmlformats.org/officeDocument/2006/relationships/footer" Target="/word/footer3.xml" Id="Rd12c0cd28fa044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ee69f25fbe42e4" /></Relationships>
</file>