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ad1d99639947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83f548f29544e2"/>
      <w:footerReference w:type="even" r:id="R268876b0f85b499a"/>
      <w:footerReference w:type="first" r:id="R5477eb5ea8964b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0f017ae0345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DFZ-2014-1774-VI-NE-EI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0639efcb44dd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ee03aef3fb45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3d5bcf85d64e1a" /><Relationship Type="http://schemas.openxmlformats.org/officeDocument/2006/relationships/numbering" Target="/word/numbering.xml" Id="R9c06be3e9d184c31" /><Relationship Type="http://schemas.openxmlformats.org/officeDocument/2006/relationships/settings" Target="/word/settings.xml" Id="Rc1ceb2fa91204f0c" /><Relationship Type="http://schemas.openxmlformats.org/officeDocument/2006/relationships/image" Target="/word/media/2a29e802-d734-4df6-9236-ce8b66065333.png" Id="R9200f017ae03458d" /><Relationship Type="http://schemas.openxmlformats.org/officeDocument/2006/relationships/image" Target="/word/media/50cff07e-37f0-4ab3-899f-6650c182eb50.png" Id="Rbf30639efcb44dd9" /><Relationship Type="http://schemas.openxmlformats.org/officeDocument/2006/relationships/footer" Target="/word/footer1.xml" Id="R9183f548f29544e2" /><Relationship Type="http://schemas.openxmlformats.org/officeDocument/2006/relationships/footer" Target="/word/footer2.xml" Id="R268876b0f85b499a" /><Relationship Type="http://schemas.openxmlformats.org/officeDocument/2006/relationships/footer" Target="/word/footer3.xml" Id="R5477eb5ea8964b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ee03aef3fb45d0" /></Relationships>
</file>