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c90e032f0d4f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74714672bba4edb"/>
      <w:footerReference w:type="even" r:id="Rac01cf3fff904d95"/>
      <w:footerReference w:type="first" r:id="R63e79fa465ee4c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77bd42ed334c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DFZ-2013-2781-VII-NE-EI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62bddd103a461c"/>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93329000-K-183-524</w:t>
            </w:r>
          </w:p>
        </w:tc>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02-2011</w:t>
            </w:r>
          </w:p>
        </w:tc>
      </w:tr>
      <w:tr>
        <w:tc>
          <w:tcPr>
            <w:tcW w:w="2310" w:type="auto"/>
          </w:tcPr>
          <w:p>
            <w:pPr/>
            <w:r>
              <w:rPr>
                <w:sz w:val="18"/>
                <w:szCs w:val="18"/>
              </w:rPr>
              <w:t>93329000-K-183-525</w:t>
            </w:r>
          </w:p>
        </w:tc>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93329000-K-183-524</w:t>
            </w:r>
          </w:p>
        </w:tc>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93329000-K-183-525</w:t>
            </w:r>
          </w:p>
        </w:tc>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75d218fad0647b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21f568c4cd4ed9" /><Relationship Type="http://schemas.openxmlformats.org/officeDocument/2006/relationships/numbering" Target="/word/numbering.xml" Id="Rc3e4c2a93bfd4ebb" /><Relationship Type="http://schemas.openxmlformats.org/officeDocument/2006/relationships/settings" Target="/word/settings.xml" Id="Redad1b4cffb74a6e" /><Relationship Type="http://schemas.openxmlformats.org/officeDocument/2006/relationships/image" Target="/word/media/1e4771dd-502b-4d05-acd0-19e7f13183ce.png" Id="R8477bd42ed334c14" /><Relationship Type="http://schemas.openxmlformats.org/officeDocument/2006/relationships/image" Target="/word/media/c8873664-788e-438a-92be-cd8107bfacac.png" Id="R1e62bddd103a461c" /><Relationship Type="http://schemas.openxmlformats.org/officeDocument/2006/relationships/footer" Target="/word/footer1.xml" Id="R074714672bba4edb" /><Relationship Type="http://schemas.openxmlformats.org/officeDocument/2006/relationships/footer" Target="/word/footer2.xml" Id="Rac01cf3fff904d95" /><Relationship Type="http://schemas.openxmlformats.org/officeDocument/2006/relationships/footer" Target="/word/footer3.xml" Id="R63e79fa465ee4c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5d218fad0647ba" /></Relationships>
</file>