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a69fd1f53f49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03050617e3494e"/>
      <w:footerReference w:type="even" r:id="R7d2ca6238e414b49"/>
      <w:footerReference w:type="first" r:id="R3e7c2a34786d4c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56a33c91f54d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DFZ-2014-2219-VI-NE-EI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f36880336247c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N°395 de fecha 11-12-2007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96512200-1-1-74</w:t>
            </w:r>
          </w:p>
        </w:tc>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298022</w:t>
            </w:r>
          </w:p>
        </w:tc>
        <w:tc>
          <w:tcPr>
            <w:tcW w:w="2310" w:type="auto"/>
          </w:tcPr>
          <w:p>
            <w:pPr/>
            <w:r>
              <w:rPr>
                <w:sz w:val="18"/>
                <w:szCs w:val="18"/>
              </w:rPr>
              <w:t>6160173</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96512200-1-1-74</w:t>
            </w:r>
          </w:p>
        </w:tc>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61da9e36e64f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ed90da799b49eb" /><Relationship Type="http://schemas.openxmlformats.org/officeDocument/2006/relationships/numbering" Target="/word/numbering.xml" Id="R7474ee55127849b2" /><Relationship Type="http://schemas.openxmlformats.org/officeDocument/2006/relationships/settings" Target="/word/settings.xml" Id="Rc3f468c3c20b4742" /><Relationship Type="http://schemas.openxmlformats.org/officeDocument/2006/relationships/image" Target="/word/media/3e96d5d4-2f3f-440d-b7f4-16e3d96dfe4b.png" Id="R4456a33c91f54d39" /><Relationship Type="http://schemas.openxmlformats.org/officeDocument/2006/relationships/image" Target="/word/media/7cc1c219-24b3-46d1-b650-f070aa0a6342.png" Id="R8bf36880336247cc" /><Relationship Type="http://schemas.openxmlformats.org/officeDocument/2006/relationships/footer" Target="/word/footer1.xml" Id="Red03050617e3494e" /><Relationship Type="http://schemas.openxmlformats.org/officeDocument/2006/relationships/footer" Target="/word/footer2.xml" Id="R7d2ca6238e414b49" /><Relationship Type="http://schemas.openxmlformats.org/officeDocument/2006/relationships/footer" Target="/word/footer3.xml" Id="R3e7c2a34786d4c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61da9e36e64fb2" /></Relationships>
</file>