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55d0ed56d149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e56bde8c364cb6"/>
      <w:footerReference w:type="even" r:id="Rfd623d6f7f15444a"/>
      <w:footerReference w:type="first" r:id="R6b8b035664bb44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d6a57177894c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DFZ-2013-2484-IV-NE-EI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0c69526ce3481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78258990-3-301-641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78258990-3-301-641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6782ae6e51140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4ecc87fe2d49ad" /><Relationship Type="http://schemas.openxmlformats.org/officeDocument/2006/relationships/numbering" Target="/word/numbering.xml" Id="R9953b6144bdc467f" /><Relationship Type="http://schemas.openxmlformats.org/officeDocument/2006/relationships/settings" Target="/word/settings.xml" Id="Re439f98fd8f54f99" /><Relationship Type="http://schemas.openxmlformats.org/officeDocument/2006/relationships/image" Target="/word/media/e4bd8bef-ca24-4128-b031-fefbc940d07e.png" Id="Rfdd6a57177894cc6" /><Relationship Type="http://schemas.openxmlformats.org/officeDocument/2006/relationships/image" Target="/word/media/116f0f5c-b381-4c7e-b014-bedc34305186.png" Id="R710c69526ce3481c" /><Relationship Type="http://schemas.openxmlformats.org/officeDocument/2006/relationships/footer" Target="/word/footer1.xml" Id="R18e56bde8c364cb6" /><Relationship Type="http://schemas.openxmlformats.org/officeDocument/2006/relationships/footer" Target="/word/footer2.xml" Id="Rfd623d6f7f15444a" /><Relationship Type="http://schemas.openxmlformats.org/officeDocument/2006/relationships/footer" Target="/word/footer3.xml" Id="R6b8b035664bb44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782ae6e51140e0" /></Relationships>
</file>