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8d6416109b47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a8574c69914322"/>
      <w:footerReference w:type="even" r:id="Rf1ae243840564a03"/>
      <w:footerReference w:type="first" r:id="R7b102b4a35034f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292091702447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DFZ-2013-1910-IX-NE-EI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c229d7efc14842"/>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87752000-5-4-89</w:t>
            </w:r>
          </w:p>
        </w:tc>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263600</w:t>
            </w:r>
          </w:p>
        </w:tc>
        <w:tc>
          <w:tcPr>
            <w:tcW w:w="2310" w:type="auto"/>
          </w:tcPr>
          <w:p>
            <w:pPr/>
            <w:r>
              <w:rPr>
                <w:sz w:val="18"/>
                <w:szCs w:val="18"/>
              </w:rPr>
              <w:t>5745240</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87752000-5-4-89</w:t>
            </w:r>
          </w:p>
        </w:tc>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4e94cf1ab994d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e5920f624b49c4" /><Relationship Type="http://schemas.openxmlformats.org/officeDocument/2006/relationships/numbering" Target="/word/numbering.xml" Id="R171d0bdf306c468d" /><Relationship Type="http://schemas.openxmlformats.org/officeDocument/2006/relationships/settings" Target="/word/settings.xml" Id="Rc94b1886e80f4cef" /><Relationship Type="http://schemas.openxmlformats.org/officeDocument/2006/relationships/image" Target="/word/media/567c51ff-14da-42de-af4a-96cf00046eee.png" Id="R9329209170244741" /><Relationship Type="http://schemas.openxmlformats.org/officeDocument/2006/relationships/image" Target="/word/media/03a14ed5-f00a-49f9-ad79-5f2ae63322b8.png" Id="Ra9c229d7efc14842" /><Relationship Type="http://schemas.openxmlformats.org/officeDocument/2006/relationships/footer" Target="/word/footer1.xml" Id="Rbaa8574c69914322" /><Relationship Type="http://schemas.openxmlformats.org/officeDocument/2006/relationships/footer" Target="/word/footer2.xml" Id="Rf1ae243840564a03" /><Relationship Type="http://schemas.openxmlformats.org/officeDocument/2006/relationships/footer" Target="/word/footer3.xml" Id="R7b102b4a35034f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e94cf1ab994d16" /></Relationships>
</file>