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42f8427e9e4d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9624c85f5a41bd"/>
      <w:footerReference w:type="even" r:id="R2e8abd2d728546b2"/>
      <w:footerReference w:type="first" r:id="R723c92570b194f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2d661251464d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DFZ-2013-1694-XIV-NE-EI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fa143685d44e4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 de fecha 15-02-2012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76024330-2-1-143</w:t>
            </w:r>
          </w:p>
        </w:tc>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720200</w:t>
            </w:r>
          </w:p>
        </w:tc>
        <w:tc>
          <w:tcPr>
            <w:tcW w:w="2310" w:type="auto"/>
          </w:tcPr>
          <w:p>
            <w:pPr/>
            <w:r>
              <w:rPr>
                <w:sz w:val="18"/>
                <w:szCs w:val="18"/>
              </w:rPr>
              <w:t>5499500</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76024330-2-1-143</w:t>
            </w:r>
          </w:p>
        </w:tc>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d6c2e1244f41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b23fe538f54845" /><Relationship Type="http://schemas.openxmlformats.org/officeDocument/2006/relationships/numbering" Target="/word/numbering.xml" Id="R7d5d50d3edfb4ef5" /><Relationship Type="http://schemas.openxmlformats.org/officeDocument/2006/relationships/settings" Target="/word/settings.xml" Id="R06ed8340d04547a2" /><Relationship Type="http://schemas.openxmlformats.org/officeDocument/2006/relationships/image" Target="/word/media/db2cff60-4ce8-4aa1-9185-fb8f69bb0749.png" Id="R6f2d661251464def" /><Relationship Type="http://schemas.openxmlformats.org/officeDocument/2006/relationships/image" Target="/word/media/776941f5-1089-495b-9566-7f6e64f0c238.png" Id="R9bfa143685d44e4e" /><Relationship Type="http://schemas.openxmlformats.org/officeDocument/2006/relationships/footer" Target="/word/footer1.xml" Id="R049624c85f5a41bd" /><Relationship Type="http://schemas.openxmlformats.org/officeDocument/2006/relationships/footer" Target="/word/footer2.xml" Id="R2e8abd2d728546b2" /><Relationship Type="http://schemas.openxmlformats.org/officeDocument/2006/relationships/footer" Target="/word/footer3.xml" Id="R723c92570b194f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d6c2e1244f41b7" /></Relationships>
</file>