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1faf37dea4a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b52647af404ca1"/>
      <w:footerReference w:type="even" r:id="R063589ba09cf4fe3"/>
      <w:footerReference w:type="first" r:id="R9e35c4adf79f44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bd516d232642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DFZ-2013-1761-VII-NE-EI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bc9f68f1e4e4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e7b55db10b64e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63fd389a6143a2" /><Relationship Type="http://schemas.openxmlformats.org/officeDocument/2006/relationships/numbering" Target="/word/numbering.xml" Id="Rf961dcad7cea4857" /><Relationship Type="http://schemas.openxmlformats.org/officeDocument/2006/relationships/settings" Target="/word/settings.xml" Id="R0b61a398dc1d41cd" /><Relationship Type="http://schemas.openxmlformats.org/officeDocument/2006/relationships/image" Target="/word/media/5de932c9-cccc-4084-b08a-2dd707bdf07c.png" Id="R4bbd516d23264205" /><Relationship Type="http://schemas.openxmlformats.org/officeDocument/2006/relationships/image" Target="/word/media/9c3852e3-5457-43fa-88ea-f06821d6a567.png" Id="Ra91bc9f68f1e4e4f" /><Relationship Type="http://schemas.openxmlformats.org/officeDocument/2006/relationships/footer" Target="/word/footer1.xml" Id="Rceb52647af404ca1" /><Relationship Type="http://schemas.openxmlformats.org/officeDocument/2006/relationships/footer" Target="/word/footer2.xml" Id="R063589ba09cf4fe3" /><Relationship Type="http://schemas.openxmlformats.org/officeDocument/2006/relationships/footer" Target="/word/footer3.xml" Id="R9e35c4adf79f44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7b55db10b64ef2" /></Relationships>
</file>