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469c4d418a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e4e4f2feb74059"/>
      <w:footerReference w:type="even" r:id="Rc3c45fb9a67d41e6"/>
      <w:footerReference w:type="first" r:id="Rac7717caffc943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225accbd97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DFZ-2015-4876-VI-NE-EI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bbb789d3684bf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8a9aabfaf48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f2cd7a31e44338" /><Relationship Type="http://schemas.openxmlformats.org/officeDocument/2006/relationships/numbering" Target="/word/numbering.xml" Id="Rb303b439b2ac4d67" /><Relationship Type="http://schemas.openxmlformats.org/officeDocument/2006/relationships/settings" Target="/word/settings.xml" Id="R43d1b3b5ae564923" /><Relationship Type="http://schemas.openxmlformats.org/officeDocument/2006/relationships/image" Target="/word/media/811c1ecf-de9d-4146-94ca-bd15f4266ce8.png" Id="R0d225accbd9744ef" /><Relationship Type="http://schemas.openxmlformats.org/officeDocument/2006/relationships/image" Target="/word/media/d2003e17-1c0d-4266-bf82-eccee7be8d4b.png" Id="Rabbbb789d3684bf5" /><Relationship Type="http://schemas.openxmlformats.org/officeDocument/2006/relationships/footer" Target="/word/footer1.xml" Id="Re6e4e4f2feb74059" /><Relationship Type="http://schemas.openxmlformats.org/officeDocument/2006/relationships/footer" Target="/word/footer2.xml" Id="Rc3c45fb9a67d41e6" /><Relationship Type="http://schemas.openxmlformats.org/officeDocument/2006/relationships/footer" Target="/word/footer3.xml" Id="Rac7717caffc943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8a9aabfaf4846" /></Relationships>
</file>