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d9639a0d5f45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c21f9fdff34c85"/>
      <w:footerReference w:type="even" r:id="Rda4e7c7fe20440bd"/>
      <w:footerReference w:type="first" r:id="Re0187d03af744c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95705bb67c45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DFZ-2015-6131-XIII-NE-EI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bcc26d8bd542a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5072bfecf044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b447d214e2441b" /><Relationship Type="http://schemas.openxmlformats.org/officeDocument/2006/relationships/numbering" Target="/word/numbering.xml" Id="Re5bde729db874c65" /><Relationship Type="http://schemas.openxmlformats.org/officeDocument/2006/relationships/settings" Target="/word/settings.xml" Id="R1529efe18b2b4bd7" /><Relationship Type="http://schemas.openxmlformats.org/officeDocument/2006/relationships/image" Target="/word/media/0e78d8ad-4d3a-41f9-9bec-ad64ee371866.png" Id="Rc695705bb67c4519" /><Relationship Type="http://schemas.openxmlformats.org/officeDocument/2006/relationships/image" Target="/word/media/7d840a43-5f58-4e4b-8c21-4287ded9a48d.png" Id="R5abcc26d8bd542af" /><Relationship Type="http://schemas.openxmlformats.org/officeDocument/2006/relationships/footer" Target="/word/footer1.xml" Id="R6ac21f9fdff34c85" /><Relationship Type="http://schemas.openxmlformats.org/officeDocument/2006/relationships/footer" Target="/word/footer2.xml" Id="Rda4e7c7fe20440bd" /><Relationship Type="http://schemas.openxmlformats.org/officeDocument/2006/relationships/footer" Target="/word/footer3.xml" Id="Re0187d03af744c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5072bfecf044d5" /></Relationships>
</file>