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60fe4f4d2b4b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d7f5b0479241be"/>
      <w:footerReference w:type="even" r:id="R5ea49a25d0f442ac"/>
      <w:footerReference w:type="first" r:id="Rec027078c9df4d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6076bf80341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DFZ-2013-1770-III-NE-EI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0af8bebaf481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27a5f417e943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036dae6c6f47fe" /><Relationship Type="http://schemas.openxmlformats.org/officeDocument/2006/relationships/numbering" Target="/word/numbering.xml" Id="Re0f31e36544c423a" /><Relationship Type="http://schemas.openxmlformats.org/officeDocument/2006/relationships/settings" Target="/word/settings.xml" Id="R4283540e67d544ba" /><Relationship Type="http://schemas.openxmlformats.org/officeDocument/2006/relationships/image" Target="/word/media/1e425de6-bf22-4fbe-b035-9bc217372792.png" Id="R03d6076bf803412f" /><Relationship Type="http://schemas.openxmlformats.org/officeDocument/2006/relationships/image" Target="/word/media/c97ef573-8a56-42f4-9b2e-78ed4bd04635.png" Id="R4000af8bebaf4814" /><Relationship Type="http://schemas.openxmlformats.org/officeDocument/2006/relationships/footer" Target="/word/footer1.xml" Id="R33d7f5b0479241be" /><Relationship Type="http://schemas.openxmlformats.org/officeDocument/2006/relationships/footer" Target="/word/footer2.xml" Id="R5ea49a25d0f442ac" /><Relationship Type="http://schemas.openxmlformats.org/officeDocument/2006/relationships/footer" Target="/word/footer3.xml" Id="Rec027078c9df4d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27a5f417e943e8" /></Relationships>
</file>