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1ad866fa324b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b43f61653f457f"/>
      <w:footerReference w:type="even" r:id="R866094fa927b4297"/>
      <w:footerReference w:type="first" r:id="R9247e80905ea42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2609cc4d8643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DFZ-2016-3360-VIII-NE-EI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cb0ec67120411d"/>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d96a84b20143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ea4d918b154ca6" /><Relationship Type="http://schemas.openxmlformats.org/officeDocument/2006/relationships/numbering" Target="/word/numbering.xml" Id="Rd40d8688ecf94ba6" /><Relationship Type="http://schemas.openxmlformats.org/officeDocument/2006/relationships/settings" Target="/word/settings.xml" Id="R2eeae89551644409" /><Relationship Type="http://schemas.openxmlformats.org/officeDocument/2006/relationships/image" Target="/word/media/980b2dbf-d2dc-4d3f-8b39-da2260c5cc93.png" Id="Rb52609cc4d86437c" /><Relationship Type="http://schemas.openxmlformats.org/officeDocument/2006/relationships/image" Target="/word/media/d1add808-a17e-4f5c-8d15-d252f3737352.png" Id="Re8cb0ec67120411d" /><Relationship Type="http://schemas.openxmlformats.org/officeDocument/2006/relationships/footer" Target="/word/footer1.xml" Id="R41b43f61653f457f" /><Relationship Type="http://schemas.openxmlformats.org/officeDocument/2006/relationships/footer" Target="/word/footer2.xml" Id="R866094fa927b4297" /><Relationship Type="http://schemas.openxmlformats.org/officeDocument/2006/relationships/footer" Target="/word/footer3.xml" Id="R9247e80905ea42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d96a84b20143f0" /></Relationships>
</file>