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289d9284d34d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cd4cd0c1684f30"/>
      <w:footerReference w:type="even" r:id="R2ed0174116d5416f"/>
      <w:footerReference w:type="first" r:id="R925fc16681a0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8b131801545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DFZ-2015-4712-IX-NE-EI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d55115ada34e1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74be2a3f3647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cbf0067b749a8" /><Relationship Type="http://schemas.openxmlformats.org/officeDocument/2006/relationships/numbering" Target="/word/numbering.xml" Id="R681bf5e0b4404d9f" /><Relationship Type="http://schemas.openxmlformats.org/officeDocument/2006/relationships/settings" Target="/word/settings.xml" Id="R05f61a591cea4314" /><Relationship Type="http://schemas.openxmlformats.org/officeDocument/2006/relationships/image" Target="/word/media/bbe24a44-23a3-4180-b088-8caa7f8d3e9b.png" Id="R0bc8b131801545dd" /><Relationship Type="http://schemas.openxmlformats.org/officeDocument/2006/relationships/image" Target="/word/media/2960ff8f-a21f-4b30-84f7-099b98b31c72.png" Id="R80d55115ada34e10" /><Relationship Type="http://schemas.openxmlformats.org/officeDocument/2006/relationships/footer" Target="/word/footer1.xml" Id="R02cd4cd0c1684f30" /><Relationship Type="http://schemas.openxmlformats.org/officeDocument/2006/relationships/footer" Target="/word/footer2.xml" Id="R2ed0174116d5416f" /><Relationship Type="http://schemas.openxmlformats.org/officeDocument/2006/relationships/footer" Target="/word/footer3.xml" Id="R925fc16681a0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74be2a3f364736" /></Relationships>
</file>