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7f5029d5cb48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b14b32da14377"/>
      <w:footerReference w:type="even" r:id="R4cf594a1facc47a4"/>
      <w:footerReference w:type="first" r:id="R94ff09a2e3964d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6b5b90a1d340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DFZ-2015-4775-IX-NE-EI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f472764e96419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97fc080cff44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addad053c44a1" /><Relationship Type="http://schemas.openxmlformats.org/officeDocument/2006/relationships/numbering" Target="/word/numbering.xml" Id="R742a9e4fd9f248a9" /><Relationship Type="http://schemas.openxmlformats.org/officeDocument/2006/relationships/settings" Target="/word/settings.xml" Id="R84beb01deaa946e3" /><Relationship Type="http://schemas.openxmlformats.org/officeDocument/2006/relationships/image" Target="/word/media/9b1e3c35-d338-429e-a401-c7f48e8c0b3a.png" Id="R526b5b90a1d340a4" /><Relationship Type="http://schemas.openxmlformats.org/officeDocument/2006/relationships/image" Target="/word/media/81abb7c7-53de-4dd9-b9cc-6b6bd7a5a72e.png" Id="R13f472764e964194" /><Relationship Type="http://schemas.openxmlformats.org/officeDocument/2006/relationships/footer" Target="/word/footer1.xml" Id="R25fb14b32da14377" /><Relationship Type="http://schemas.openxmlformats.org/officeDocument/2006/relationships/footer" Target="/word/footer2.xml" Id="R4cf594a1facc47a4" /><Relationship Type="http://schemas.openxmlformats.org/officeDocument/2006/relationships/footer" Target="/word/footer3.xml" Id="R94ff09a2e3964d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97fc080cff4441" /></Relationships>
</file>