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49f04540e842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878ec19b75b472d"/>
      <w:footerReference w:type="even" r:id="Rb05c9bd0f7364d58"/>
      <w:footerReference w:type="first" r:id="R2c6c38a270484b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de634a187f4a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(SAN BERNARDO)</w:t>
      </w:r>
    </w:p>
    <w:p>
      <w:pPr>
        <w:jc w:val="center"/>
      </w:pPr>
      <w:r>
        <w:rPr>
          <w:sz w:val="32"/>
          <w:szCs w:val="32"/>
          <w:b/>
        </w:rPr>
        <w:br/>
      </w:r>
      <w:r>
        <w:rPr>
          <w:sz w:val="32"/>
          <w:szCs w:val="32"/>
          <w:b/>
        </w:rPr>
        <w:t>DFZ-2015-5567-XIII-NE-EI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cba120c26a447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(SAN BERNARDO)”, en el marco de la norma de emisión DS.46/02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(SAN BERNARDO)</w:t>
            </w:r>
          </w:p>
        </w:tc>
      </w:tr>
      <w:tr>
        <w:tc>
          <w:tcPr>
            <w:tcW w:w="15000" w:type="dxa"/>
          </w:tcPr>
          <w:p>
            <w:pPr/>
            <w:r>
              <w:rPr>
                <w:b/>
              </w:rPr>
              <w:t>Dirección:</w:t>
            </w:r>
            <w:r>
              <w:br/>
            </w:r>
            <w:r>
              <w:t>PANAMERICANA SUR KM 27, ESQUINA LO HERRERA</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SAN BERNARDO</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4928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73019261924e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6ff6008c334c40" /><Relationship Type="http://schemas.openxmlformats.org/officeDocument/2006/relationships/numbering" Target="/word/numbering.xml" Id="R3c07d8a0d94e433d" /><Relationship Type="http://schemas.openxmlformats.org/officeDocument/2006/relationships/settings" Target="/word/settings.xml" Id="Rb7501ba7f8114cbd" /><Relationship Type="http://schemas.openxmlformats.org/officeDocument/2006/relationships/image" Target="/word/media/fe0a8ee6-14e6-4ebd-9689-425d09145dff.png" Id="R9fde634a187f4af9" /><Relationship Type="http://schemas.openxmlformats.org/officeDocument/2006/relationships/image" Target="/word/media/5076d9f2-9c6d-4840-987a-5bee2e2f045a.png" Id="R6ccba120c26a447f" /><Relationship Type="http://schemas.openxmlformats.org/officeDocument/2006/relationships/footer" Target="/word/footer1.xml" Id="Rd878ec19b75b472d" /><Relationship Type="http://schemas.openxmlformats.org/officeDocument/2006/relationships/footer" Target="/word/footer2.xml" Id="Rb05c9bd0f7364d58" /><Relationship Type="http://schemas.openxmlformats.org/officeDocument/2006/relationships/footer" Target="/word/footer3.xml" Id="R2c6c38a270484b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73019261924e7c" /></Relationships>
</file>