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39085e2c404d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c123c00cc1481d"/>
      <w:footerReference w:type="even" r:id="Rcdcd1b90d4b144aa"/>
      <w:footerReference w:type="first" r:id="R6f797baf61d84e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fca458813a42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DFZ-2017-2477-III-NE-EI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c511e2d4034d8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70f7aad58a45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217ef5ce5b43c7" /><Relationship Type="http://schemas.openxmlformats.org/officeDocument/2006/relationships/numbering" Target="/word/numbering.xml" Id="R7cb9f41efec2472b" /><Relationship Type="http://schemas.openxmlformats.org/officeDocument/2006/relationships/settings" Target="/word/settings.xml" Id="R62964e3e87ed4ec4" /><Relationship Type="http://schemas.openxmlformats.org/officeDocument/2006/relationships/image" Target="/word/media/18d036f9-5fb7-4a45-94a8-3f8f5f849cac.png" Id="Rcbfca458813a4228" /><Relationship Type="http://schemas.openxmlformats.org/officeDocument/2006/relationships/image" Target="/word/media/2a3cacd1-9d7e-4b68-b64f-c41be2a409a0.png" Id="R25c511e2d4034d8b" /><Relationship Type="http://schemas.openxmlformats.org/officeDocument/2006/relationships/footer" Target="/word/footer1.xml" Id="R8dc123c00cc1481d" /><Relationship Type="http://schemas.openxmlformats.org/officeDocument/2006/relationships/footer" Target="/word/footer2.xml" Id="Rcdcd1b90d4b144aa" /><Relationship Type="http://schemas.openxmlformats.org/officeDocument/2006/relationships/footer" Target="/word/footer3.xml" Id="R6f797baf61d84e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70f7aad58a45d8" /></Relationships>
</file>