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485f6375de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f240090a7c4a35"/>
      <w:footerReference w:type="even" r:id="R29d0daa92bc24c9f"/>
      <w:footerReference w:type="first" r:id="R62fba43f7c434a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07f752a93345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DFZ-2017-2208-XIII-NE-EI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a57a9022d9445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a30653fe0946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22eb99cf224394" /><Relationship Type="http://schemas.openxmlformats.org/officeDocument/2006/relationships/numbering" Target="/word/numbering.xml" Id="R6a893ce9a81a4812" /><Relationship Type="http://schemas.openxmlformats.org/officeDocument/2006/relationships/settings" Target="/word/settings.xml" Id="R505679196dd54449" /><Relationship Type="http://schemas.openxmlformats.org/officeDocument/2006/relationships/image" Target="/word/media/77cb89a7-1fb3-4191-a367-908130301cdf.png" Id="R4307f752a93345b5" /><Relationship Type="http://schemas.openxmlformats.org/officeDocument/2006/relationships/image" Target="/word/media/469bc62d-5626-4895-b757-cc568140d35f.png" Id="R95a57a9022d94453" /><Relationship Type="http://schemas.openxmlformats.org/officeDocument/2006/relationships/footer" Target="/word/footer1.xml" Id="R2ef240090a7c4a35" /><Relationship Type="http://schemas.openxmlformats.org/officeDocument/2006/relationships/footer" Target="/word/footer2.xml" Id="R29d0daa92bc24c9f" /><Relationship Type="http://schemas.openxmlformats.org/officeDocument/2006/relationships/footer" Target="/word/footer3.xml" Id="R62fba43f7c434a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a30653fe09464a" /></Relationships>
</file>