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73dd186bb54e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d2f69250854679"/>
      <w:footerReference w:type="even" r:id="R2759b793f19648d7"/>
      <w:footerReference w:type="first" r:id="Rf8a290124fdd4d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024ab30f4b4d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DFZ-2017-683-XIII-NE-EI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d2e5b2a91042c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de12b8baec41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f96f5a3fc5431e" /><Relationship Type="http://schemas.openxmlformats.org/officeDocument/2006/relationships/numbering" Target="/word/numbering.xml" Id="R0fc73901f65e4d0f" /><Relationship Type="http://schemas.openxmlformats.org/officeDocument/2006/relationships/settings" Target="/word/settings.xml" Id="R22c9181cd9d04e77" /><Relationship Type="http://schemas.openxmlformats.org/officeDocument/2006/relationships/image" Target="/word/media/6dd40d50-935d-49b6-a557-289d25b3c983.png" Id="R46024ab30f4b4d16" /><Relationship Type="http://schemas.openxmlformats.org/officeDocument/2006/relationships/image" Target="/word/media/a57277a9-f7db-40d3-83dc-67bacce5bea2.png" Id="Re6d2e5b2a91042cd" /><Relationship Type="http://schemas.openxmlformats.org/officeDocument/2006/relationships/footer" Target="/word/footer1.xml" Id="R49d2f69250854679" /><Relationship Type="http://schemas.openxmlformats.org/officeDocument/2006/relationships/footer" Target="/word/footer2.xml" Id="R2759b793f19648d7" /><Relationship Type="http://schemas.openxmlformats.org/officeDocument/2006/relationships/footer" Target="/word/footer3.xml" Id="Rf8a290124fdd4d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de12b8baec416e" /></Relationships>
</file>