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fa6e23ed7f4d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afdf5feed14fdf"/>
      <w:footerReference w:type="even" r:id="R8c5a7d2242d44487"/>
      <w:footerReference w:type="first" r:id="Reea7a25f7de947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11e3e6e2d943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DFZ-2017-1038-XIV-NE-EI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d0b3976cdd461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afa1341a9541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e41ff5a74b41be" /><Relationship Type="http://schemas.openxmlformats.org/officeDocument/2006/relationships/numbering" Target="/word/numbering.xml" Id="R85d22a2c244f4426" /><Relationship Type="http://schemas.openxmlformats.org/officeDocument/2006/relationships/settings" Target="/word/settings.xml" Id="R0ecc41195ebc4d50" /><Relationship Type="http://schemas.openxmlformats.org/officeDocument/2006/relationships/image" Target="/word/media/006a9c9c-1d30-4f20-81f5-e1a109ba8261.png" Id="R9c11e3e6e2d9435d" /><Relationship Type="http://schemas.openxmlformats.org/officeDocument/2006/relationships/image" Target="/word/media/e6d9a2c0-f8a5-42cc-9ca0-f5ab20b6da78.png" Id="R13d0b3976cdd4619" /><Relationship Type="http://schemas.openxmlformats.org/officeDocument/2006/relationships/footer" Target="/word/footer1.xml" Id="R7dafdf5feed14fdf" /><Relationship Type="http://schemas.openxmlformats.org/officeDocument/2006/relationships/footer" Target="/word/footer2.xml" Id="R8c5a7d2242d44487" /><Relationship Type="http://schemas.openxmlformats.org/officeDocument/2006/relationships/footer" Target="/word/footer3.xml" Id="Reea7a25f7de947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afa1341a954129" /></Relationships>
</file>