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195e6abf254b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910d1eeba40f1"/>
      <w:footerReference w:type="even" r:id="Rb8412da69e894800"/>
      <w:footerReference w:type="first" r:id="R94d724778e4f42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b3ce42e6c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DFZ-2017-1049-IX-NE-EI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9aa185b9a44b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66c5a1346f4b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4c26dc209045a3" /><Relationship Type="http://schemas.openxmlformats.org/officeDocument/2006/relationships/numbering" Target="/word/numbering.xml" Id="R9238ffc7caed4b6f" /><Relationship Type="http://schemas.openxmlformats.org/officeDocument/2006/relationships/settings" Target="/word/settings.xml" Id="Rcb3faa5cd5d145af" /><Relationship Type="http://schemas.openxmlformats.org/officeDocument/2006/relationships/image" Target="/word/media/c14e7e37-8979-4440-8819-f1ea93eef912.png" Id="R58db3ce42e6c4566" /><Relationship Type="http://schemas.openxmlformats.org/officeDocument/2006/relationships/image" Target="/word/media/bdacba6f-4da7-4b27-b56e-c7b72b9cc863.png" Id="R53f9aa185b9a44b5" /><Relationship Type="http://schemas.openxmlformats.org/officeDocument/2006/relationships/footer" Target="/word/footer1.xml" Id="Rb7f910d1eeba40f1" /><Relationship Type="http://schemas.openxmlformats.org/officeDocument/2006/relationships/footer" Target="/word/footer2.xml" Id="Rb8412da69e894800" /><Relationship Type="http://schemas.openxmlformats.org/officeDocument/2006/relationships/footer" Target="/word/footer3.xml" Id="R94d724778e4f42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66c5a1346f4b06" /></Relationships>
</file>