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0b69112d964f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ab06d014d04a6b"/>
      <w:footerReference w:type="even" r:id="R4265e5f7c0004fe8"/>
      <w:footerReference w:type="first" r:id="Red6e7d0ece9d46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02ae6bdc254b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DFZ-2017-1020-XIV-NE-EI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85450bac63404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d679f925b346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73400dd774c7d" /><Relationship Type="http://schemas.openxmlformats.org/officeDocument/2006/relationships/numbering" Target="/word/numbering.xml" Id="R87d7283a6b234de4" /><Relationship Type="http://schemas.openxmlformats.org/officeDocument/2006/relationships/settings" Target="/word/settings.xml" Id="R0ddd622ecbc34a39" /><Relationship Type="http://schemas.openxmlformats.org/officeDocument/2006/relationships/image" Target="/word/media/801f56d9-4e4e-4a99-9d5a-0e3d54813084.png" Id="R5f02ae6bdc254b85" /><Relationship Type="http://schemas.openxmlformats.org/officeDocument/2006/relationships/image" Target="/word/media/966b6319-0231-40d8-9ca0-bffe65d4a497.png" Id="Red85450bac63404f" /><Relationship Type="http://schemas.openxmlformats.org/officeDocument/2006/relationships/footer" Target="/word/footer1.xml" Id="R69ab06d014d04a6b" /><Relationship Type="http://schemas.openxmlformats.org/officeDocument/2006/relationships/footer" Target="/word/footer2.xml" Id="R4265e5f7c0004fe8" /><Relationship Type="http://schemas.openxmlformats.org/officeDocument/2006/relationships/footer" Target="/word/footer3.xml" Id="Red6e7d0ece9d46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d679f925b34684" /></Relationships>
</file>