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13f13d488a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215fb93e9b43df"/>
      <w:footerReference w:type="even" r:id="Ra7257565f2ef4c82"/>
      <w:footerReference w:type="first" r:id="R47c02acfd9a44c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474051f01447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DFZ-2017-2917-VII-NE-EI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5d59b3a3d4d7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a80927bc974e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714cc0334344e4" /><Relationship Type="http://schemas.openxmlformats.org/officeDocument/2006/relationships/numbering" Target="/word/numbering.xml" Id="Rc12c57bcc25c4ec9" /><Relationship Type="http://schemas.openxmlformats.org/officeDocument/2006/relationships/settings" Target="/word/settings.xml" Id="Rcd7515f8c5594a59" /><Relationship Type="http://schemas.openxmlformats.org/officeDocument/2006/relationships/image" Target="/word/media/8c51c507-6a64-4514-b451-f147ad812695.png" Id="R65474051f01447f5" /><Relationship Type="http://schemas.openxmlformats.org/officeDocument/2006/relationships/image" Target="/word/media/21f73d03-3c44-45c2-98a7-be26015944e8.png" Id="R3425d59b3a3d4d7c" /><Relationship Type="http://schemas.openxmlformats.org/officeDocument/2006/relationships/footer" Target="/word/footer1.xml" Id="Rfb215fb93e9b43df" /><Relationship Type="http://schemas.openxmlformats.org/officeDocument/2006/relationships/footer" Target="/word/footer2.xml" Id="Ra7257565f2ef4c82" /><Relationship Type="http://schemas.openxmlformats.org/officeDocument/2006/relationships/footer" Target="/word/footer3.xml" Id="R47c02acfd9a44c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a80927bc974e6d" /></Relationships>
</file>