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93f2a117604b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d89de2e56f4182"/>
      <w:footerReference w:type="even" r:id="Radff1cb2fd3347a9"/>
      <w:footerReference w:type="first" r:id="Racf113c5cd6640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e4665c25f47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DFZ-2017-3002-IX-NE-EI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3133cc06e2455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909f84cfae45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ce26a8f5e425b" /><Relationship Type="http://schemas.openxmlformats.org/officeDocument/2006/relationships/numbering" Target="/word/numbering.xml" Id="R5f6b1a95ed4c4eb6" /><Relationship Type="http://schemas.openxmlformats.org/officeDocument/2006/relationships/settings" Target="/word/settings.xml" Id="R15a953da8b844e30" /><Relationship Type="http://schemas.openxmlformats.org/officeDocument/2006/relationships/image" Target="/word/media/64a8baf4-9493-4264-8095-141e1d054279.png" Id="R744e4665c25f4746" /><Relationship Type="http://schemas.openxmlformats.org/officeDocument/2006/relationships/image" Target="/word/media/7ca7753a-fbe0-40b3-a85f-3404f763b79f.png" Id="R5e3133cc06e24557" /><Relationship Type="http://schemas.openxmlformats.org/officeDocument/2006/relationships/footer" Target="/word/footer1.xml" Id="R15d89de2e56f4182" /><Relationship Type="http://schemas.openxmlformats.org/officeDocument/2006/relationships/footer" Target="/word/footer2.xml" Id="Radff1cb2fd3347a9" /><Relationship Type="http://schemas.openxmlformats.org/officeDocument/2006/relationships/footer" Target="/word/footer3.xml" Id="Racf113c5cd6640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909f84cfae45f9" /></Relationships>
</file>