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1bdd83108c46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f4d6810bf04b7d"/>
      <w:footerReference w:type="even" r:id="R9cbe98d4cf8848d8"/>
      <w:footerReference w:type="first" r:id="R07740653014a45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8d6dfa49d42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dc67674d94e2d"/>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AGOSTO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ec656c420347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49317fb1a946f7" /><Relationship Type="http://schemas.openxmlformats.org/officeDocument/2006/relationships/numbering" Target="/word/numbering.xml" Id="R671419d7603f4177" /><Relationship Type="http://schemas.openxmlformats.org/officeDocument/2006/relationships/settings" Target="/word/settings.xml" Id="Ref81dc852b07418b" /><Relationship Type="http://schemas.openxmlformats.org/officeDocument/2006/relationships/image" Target="/word/media/37d8e4ed-6e09-4200-a7d1-6bbe9465ddcd.png" Id="Rad28d6dfa49d42e9" /><Relationship Type="http://schemas.openxmlformats.org/officeDocument/2006/relationships/image" Target="/word/media/6a2b205d-3f0a-4a2a-970f-3db629347a7b.png" Id="R68adc67674d94e2d" /><Relationship Type="http://schemas.openxmlformats.org/officeDocument/2006/relationships/footer" Target="/word/footer1.xml" Id="Rd7f4d6810bf04b7d" /><Relationship Type="http://schemas.openxmlformats.org/officeDocument/2006/relationships/footer" Target="/word/footer2.xml" Id="R9cbe98d4cf8848d8" /><Relationship Type="http://schemas.openxmlformats.org/officeDocument/2006/relationships/footer" Target="/word/footer3.xml" Id="R07740653014a45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ec656c420347e3" /></Relationships>
</file>