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b1c90110114b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e17064a6814a34"/>
      <w:footerReference w:type="even" r:id="R1bbb1e07b0e647f3"/>
      <w:footerReference w:type="first" r:id="Rc3a6cd43b6e641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28ef46870c44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DFZ-2017-6324-V-NE-EI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bfad4524ea4383"/>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MARZO del año 2017.</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remuestreo para el período controlado;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las siguientes Resoluciones de Monitoreo (RPM):</w:t>
            </w:r>
            <w:r>
              <w:br/>
            </w:r>
            <w:r>
              <w:t>SMA N° 188 de fecha 16-03-2015</w:t>
            </w:r>
            <w:r>
              <w:br/>
            </w:r>
            <w:r>
              <w:t>SMA N° 353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188</w:t>
            </w:r>
          </w:p>
        </w:tc>
        <w:tc>
          <w:tcPr>
            <w:tcW w:w="2310" w:type="auto"/>
          </w:tcPr>
          <w:p>
            <w:pPr/>
            <w:r>
              <w:rPr>
                <w:sz w:val="18"/>
                <w:szCs w:val="18"/>
              </w:rPr>
              <w:t>16-03-2015</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353</w:t>
            </w:r>
          </w:p>
        </w:tc>
        <w:tc>
          <w:tcPr>
            <w:tcW w:w="2310" w:type="auto"/>
          </w:tcPr>
          <w:p>
            <w:pPr/>
            <w:r>
              <w:rPr>
                <w:sz w:val="18"/>
                <w:szCs w:val="18"/>
              </w:rPr>
              <w:t>14-07-2014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2017.</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2017.</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2017.</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916b6b8ab34e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1250ddc67247e5" /><Relationship Type="http://schemas.openxmlformats.org/officeDocument/2006/relationships/numbering" Target="/word/numbering.xml" Id="Rb01befd732fe4283" /><Relationship Type="http://schemas.openxmlformats.org/officeDocument/2006/relationships/settings" Target="/word/settings.xml" Id="R7d6a94e66e87403b" /><Relationship Type="http://schemas.openxmlformats.org/officeDocument/2006/relationships/image" Target="/word/media/577aa1ab-9acf-4ec7-aab1-492ac2bc8b1a.png" Id="R9e28ef46870c44ef" /><Relationship Type="http://schemas.openxmlformats.org/officeDocument/2006/relationships/image" Target="/word/media/a78266af-1a6c-4dce-91f9-30435111130a.png" Id="Rf6bfad4524ea4383" /><Relationship Type="http://schemas.openxmlformats.org/officeDocument/2006/relationships/footer" Target="/word/footer1.xml" Id="R34e17064a6814a34" /><Relationship Type="http://schemas.openxmlformats.org/officeDocument/2006/relationships/footer" Target="/word/footer2.xml" Id="R1bbb1e07b0e647f3" /><Relationship Type="http://schemas.openxmlformats.org/officeDocument/2006/relationships/footer" Target="/word/footer3.xml" Id="Rc3a6cd43b6e641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916b6b8ab34e4e" /></Relationships>
</file>