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4068894dea45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1c317277684cea"/>
      <w:footerReference w:type="even" r:id="R1d266b53de484d47"/>
      <w:footerReference w:type="first" r:id="Rcfa5d062f4d045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718acbdfeb4c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DFZ-2017-2606-V-NE-EI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a19461ad25460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NOVIEMBRE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9ee64e14234f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06ea40ae724a85" /><Relationship Type="http://schemas.openxmlformats.org/officeDocument/2006/relationships/numbering" Target="/word/numbering.xml" Id="R930809f898f64ccb" /><Relationship Type="http://schemas.openxmlformats.org/officeDocument/2006/relationships/settings" Target="/word/settings.xml" Id="R782ed29c0be346ad" /><Relationship Type="http://schemas.openxmlformats.org/officeDocument/2006/relationships/image" Target="/word/media/3f26d087-80ee-451f-8077-ef25ca68b381.png" Id="Re6718acbdfeb4cf6" /><Relationship Type="http://schemas.openxmlformats.org/officeDocument/2006/relationships/image" Target="/word/media/8c7b0f2d-35c1-4ba3-9e11-8ae12a323939.png" Id="R17a19461ad25460c" /><Relationship Type="http://schemas.openxmlformats.org/officeDocument/2006/relationships/footer" Target="/word/footer1.xml" Id="R6e1c317277684cea" /><Relationship Type="http://schemas.openxmlformats.org/officeDocument/2006/relationships/footer" Target="/word/footer2.xml" Id="R1d266b53de484d47" /><Relationship Type="http://schemas.openxmlformats.org/officeDocument/2006/relationships/footer" Target="/word/footer3.xml" Id="Rcfa5d062f4d045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9ee64e14234f98" /></Relationships>
</file>