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83854405c343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1075d83e6a41a0"/>
      <w:footerReference w:type="even" r:id="R89c8e5d144454848"/>
      <w:footerReference w:type="first" r:id="Re8a8ee5401554f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6a127542a40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DFZ-2017-1777-VII-NE-EI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6ff942eb2d443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f0b839dcc6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54acfddbd49c1" /><Relationship Type="http://schemas.openxmlformats.org/officeDocument/2006/relationships/numbering" Target="/word/numbering.xml" Id="R89a3b24f852b4f56" /><Relationship Type="http://schemas.openxmlformats.org/officeDocument/2006/relationships/settings" Target="/word/settings.xml" Id="R3da6d6eb07944ae0" /><Relationship Type="http://schemas.openxmlformats.org/officeDocument/2006/relationships/image" Target="/word/media/2bb45be0-85f6-4e93-90d5-4acd487bfec6.png" Id="R5d66a127542a40cc" /><Relationship Type="http://schemas.openxmlformats.org/officeDocument/2006/relationships/image" Target="/word/media/74fd2405-2c6d-441b-80d3-a510245a4182.png" Id="Rb26ff942eb2d4433" /><Relationship Type="http://schemas.openxmlformats.org/officeDocument/2006/relationships/footer" Target="/word/footer1.xml" Id="Rd91075d83e6a41a0" /><Relationship Type="http://schemas.openxmlformats.org/officeDocument/2006/relationships/footer" Target="/word/footer2.xml" Id="R89c8e5d144454848" /><Relationship Type="http://schemas.openxmlformats.org/officeDocument/2006/relationships/footer" Target="/word/footer3.xml" Id="Re8a8ee5401554f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f0b839dcc64a10" /></Relationships>
</file>