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98a9eda9a49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5d265ad9a5459d"/>
      <w:footerReference w:type="even" r:id="Rd3b87e4d87a942f4"/>
      <w:footerReference w:type="first" r:id="R18060f4dcdc049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23465b2261431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DFZ-2017-5397-XIV-NE-EI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3e1daa8cc8451a"/>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JULIO del año 2016.</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r>
        <w:tc>
          <w:tcPr>
            <w:tcW w:w="2310" w:type="auto"/>
          </w:tcPr>
          <w:p>
            <w:pPr>
              <w:jc w:val="center"/>
            </w:pPr>
            <w:r>
              <w:t>2</w:t>
            </w:r>
          </w:p>
        </w:tc>
        <w:tc>
          <w:tcPr>
            <w:tcW w:w="2310" w:type="auto"/>
          </w:tcPr>
          <w:p>
            <w:pPr/>
            <w:r>
              <w:t>CONTROL DIRECTO 07-2016_Compañia Cervecera Kunstmann S.A..pdf.pdf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ae396299bc49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d0df02df9148ce" /><Relationship Type="http://schemas.openxmlformats.org/officeDocument/2006/relationships/numbering" Target="/word/numbering.xml" Id="R140df9a6307a4281" /><Relationship Type="http://schemas.openxmlformats.org/officeDocument/2006/relationships/settings" Target="/word/settings.xml" Id="R11de0862d8e74973" /><Relationship Type="http://schemas.openxmlformats.org/officeDocument/2006/relationships/image" Target="/word/media/0aac34eb-b10e-4f9b-9997-96b8b834545b.png" Id="R6523465b22614319" /><Relationship Type="http://schemas.openxmlformats.org/officeDocument/2006/relationships/image" Target="/word/media/e73277bc-e5ec-49ac-b4e1-8e98c5b3e034.png" Id="R043e1daa8cc8451a" /><Relationship Type="http://schemas.openxmlformats.org/officeDocument/2006/relationships/footer" Target="/word/footer1.xml" Id="R5c5d265ad9a5459d" /><Relationship Type="http://schemas.openxmlformats.org/officeDocument/2006/relationships/footer" Target="/word/footer2.xml" Id="Rd3b87e4d87a942f4" /><Relationship Type="http://schemas.openxmlformats.org/officeDocument/2006/relationships/footer" Target="/word/footer3.xml" Id="R18060f4dcdc049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ae396299bc49d9" /></Relationships>
</file>