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1a4d30690244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41009880b54c42"/>
      <w:footerReference w:type="even" r:id="R3f63b0cb85564199"/>
      <w:footerReference w:type="first" r:id="Ra2a9fa6b8c0444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71afe7ad9140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DFZ-2017-5317-VII-NE-EI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98aaf7c6c548bb"/>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MARZO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ab/>
      </w:r>
      <w:r>
        <w:rPr>
          <w:b/>
        </w:rPr>
        <w:t>4.3. Otros hechos</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r>
        <w:tc>
          <w:tcPr>
            <w:tcW w:w="2310" w:type="auto"/>
          </w:tcPr>
          <w:p>
            <w:pPr>
              <w:jc w:val="center"/>
            </w:pPr>
            <w:r>
              <w:t>2</w:t>
            </w:r>
          </w:p>
        </w:tc>
        <w:tc>
          <w:tcPr>
            <w:tcW w:w="2310" w:type="auto"/>
          </w:tcPr>
          <w:p>
            <w:pPr/>
            <w:r>
              <w:t>CONTROL DIRECTO 03-2016_Fallido Viña Echeverria Ltda..pdf.pdf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c3896f037345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ff1cc78a1d402a" /><Relationship Type="http://schemas.openxmlformats.org/officeDocument/2006/relationships/numbering" Target="/word/numbering.xml" Id="R91ba892db9ea4ee9" /><Relationship Type="http://schemas.openxmlformats.org/officeDocument/2006/relationships/settings" Target="/word/settings.xml" Id="R9cd9fa343b514de9" /><Relationship Type="http://schemas.openxmlformats.org/officeDocument/2006/relationships/image" Target="/word/media/23882562-07d6-477f-af2e-abf16fdb8f12.png" Id="R8771afe7ad9140cb" /><Relationship Type="http://schemas.openxmlformats.org/officeDocument/2006/relationships/image" Target="/word/media/35d62c13-f62f-4c1e-8a1b-5038736e2971.png" Id="R8598aaf7c6c548bb" /><Relationship Type="http://schemas.openxmlformats.org/officeDocument/2006/relationships/footer" Target="/word/footer1.xml" Id="Rdf41009880b54c42" /><Relationship Type="http://schemas.openxmlformats.org/officeDocument/2006/relationships/footer" Target="/word/footer2.xml" Id="R3f63b0cb85564199" /><Relationship Type="http://schemas.openxmlformats.org/officeDocument/2006/relationships/footer" Target="/word/footer3.xml" Id="Ra2a9fa6b8c0444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c3896f0373456f" /></Relationships>
</file>