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a66626145648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1da7f4fbe4488d"/>
      <w:footerReference w:type="even" r:id="R7fdbeabe450f41bb"/>
      <w:footerReference w:type="first" r:id="Ra6915772d75244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0297addf5747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DFZ-2017-6183-XV-NE-EI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RUBEN VERDUGO CASTILLO</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3a110cce074660"/>
                        <a:stretch>
                          <a:fillRect/>
                        </a:stretch>
                      </pic:blipFill>
                      <pic:spPr>
                        <a:xfrm>
                          <a:off x="0" y="0"/>
                          <a:ext cx="1105016" cy="952600"/>
                        </a:xfrm>
                        <a:prstGeom prst="rect">
                          <a:avLst/>
                        </a:prstGeom>
                      </pic:spPr>
                    </pic:pic>
                  </a:graphicData>
                </a:graphic>
              </wp:inline>
            </drawing>
            <w:r>
              <w:rPr>
                <w:sz w:val="18"/>
                <w:szCs w:val="18"/>
              </w:rPr>
              <w:br/>
            </w:r>
            <w:r>
              <w:rPr>
                <w:sz w:val="18"/>
                <w:szCs w:val="18"/>
              </w:rPr>
              <w:t>21-11-2017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NOVIEMBRE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r>
              <w:rPr>
                <w:sz w:val="18"/>
                <w:szCs w:val="18"/>
              </w:rPr>
              <w:t>11-2016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2 (INFILTRACION).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r>
        <w:tc>
          <w:tcPr>
            <w:tcW w:w="2310" w:type="auto"/>
          </w:tcPr>
          <w:p>
            <w:pPr>
              <w:jc w:val="center"/>
            </w:pPr>
            <w:r>
              <w:t>2</w:t>
            </w:r>
          </w:p>
        </w:tc>
        <w:tc>
          <w:tcPr>
            <w:tcW w:w="2310" w:type="auto"/>
          </w:tcPr>
          <w:p>
            <w:pPr/>
            <w:r>
              <w:t>CONTROL DIRECTO 11-2016_Fallido Agromar S.A. (Arica).pdf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58ee94c0604b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9e844064584aac" /><Relationship Type="http://schemas.openxmlformats.org/officeDocument/2006/relationships/numbering" Target="/word/numbering.xml" Id="Rd302566e1d864711" /><Relationship Type="http://schemas.openxmlformats.org/officeDocument/2006/relationships/settings" Target="/word/settings.xml" Id="R5c3e18c5d2ee429f" /><Relationship Type="http://schemas.openxmlformats.org/officeDocument/2006/relationships/image" Target="/word/media/3ce3ed55-3f12-4264-a538-1829fe81a929.png" Id="R0e0297addf5747bd" /><Relationship Type="http://schemas.openxmlformats.org/officeDocument/2006/relationships/image" Target="/word/media/b85dc9a3-7148-4762-90be-551d99739e7d.png" Id="Rcf3a110cce074660" /><Relationship Type="http://schemas.openxmlformats.org/officeDocument/2006/relationships/footer" Target="/word/footer1.xml" Id="Rd21da7f4fbe4488d" /><Relationship Type="http://schemas.openxmlformats.org/officeDocument/2006/relationships/footer" Target="/word/footer2.xml" Id="R7fdbeabe450f41bb" /><Relationship Type="http://schemas.openxmlformats.org/officeDocument/2006/relationships/footer" Target="/word/footer3.xml" Id="Ra6915772d75244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58ee94c0604b48" /></Relationships>
</file>