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c1a5c80fd48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43198e79f24293"/>
      <w:footerReference w:type="even" r:id="R66fd02d3075b44a1"/>
      <w:footerReference w:type="first" r:id="Rf051ac1e341e4d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83a272f04b4b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434035a7464f60"/>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JULIO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7beaddb2d54a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c3de59a018429e" /><Relationship Type="http://schemas.openxmlformats.org/officeDocument/2006/relationships/numbering" Target="/word/numbering.xml" Id="R5acb6448d2e44603" /><Relationship Type="http://schemas.openxmlformats.org/officeDocument/2006/relationships/settings" Target="/word/settings.xml" Id="R7c263f810e1b4a1d" /><Relationship Type="http://schemas.openxmlformats.org/officeDocument/2006/relationships/image" Target="/word/media/e75b308b-06b4-4847-8b22-4d2fa28fbc1b.png" Id="Rae83a272f04b4bf8" /><Relationship Type="http://schemas.openxmlformats.org/officeDocument/2006/relationships/image" Target="/word/media/43ff6aeb-aaf3-4aec-a5c2-580153cfed1e.png" Id="R38434035a7464f60" /><Relationship Type="http://schemas.openxmlformats.org/officeDocument/2006/relationships/footer" Target="/word/footer1.xml" Id="Ree43198e79f24293" /><Relationship Type="http://schemas.openxmlformats.org/officeDocument/2006/relationships/footer" Target="/word/footer2.xml" Id="R66fd02d3075b44a1" /><Relationship Type="http://schemas.openxmlformats.org/officeDocument/2006/relationships/footer" Target="/word/footer3.xml" Id="Rf051ac1e341e4d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7beaddb2d54a1c" /></Relationships>
</file>