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7F772" w14:textId="77777777" w:rsidR="003945F6" w:rsidRDefault="003945F6" w:rsidP="002306DC">
      <w:pPr>
        <w:spacing w:after="0" w:line="240" w:lineRule="auto"/>
        <w:jc w:val="center"/>
        <w:rPr>
          <w:rFonts w:ascii="Calibri" w:hAnsi="Calibri" w:cs="Arial"/>
          <w:b/>
          <w:color w:val="FF0000"/>
          <w:sz w:val="20"/>
          <w:szCs w:val="20"/>
        </w:rPr>
      </w:pPr>
    </w:p>
    <w:p w14:paraId="0D12BB7E" w14:textId="739DAAB3" w:rsidR="00A92123" w:rsidRPr="00A92123" w:rsidRDefault="00A92123" w:rsidP="00A92123">
      <w:pPr>
        <w:shd w:val="clear" w:color="auto" w:fill="FABF8F"/>
        <w:tabs>
          <w:tab w:val="center" w:pos="6503"/>
          <w:tab w:val="left" w:pos="9688"/>
        </w:tabs>
        <w:spacing w:after="200" w:line="276" w:lineRule="auto"/>
        <w:rPr>
          <w:rFonts w:ascii="Calibri" w:eastAsia="Calibri" w:hAnsi="Calibri" w:cs="Times New Roman"/>
          <w:b/>
        </w:rPr>
      </w:pPr>
      <w:r>
        <w:rPr>
          <w:rFonts w:ascii="Calibri" w:eastAsia="Calibri" w:hAnsi="Calibri" w:cs="Times New Roman"/>
          <w:b/>
        </w:rPr>
        <w:tab/>
      </w:r>
      <w:r w:rsidRPr="00A92123">
        <w:rPr>
          <w:rFonts w:ascii="Calibri" w:eastAsia="Calibri" w:hAnsi="Calibri" w:cs="Times New Roman"/>
          <w:b/>
        </w:rPr>
        <w:t xml:space="preserve">Minuta de caso </w:t>
      </w:r>
      <w:proofErr w:type="spellStart"/>
      <w:r w:rsidR="007D62ED">
        <w:rPr>
          <w:rFonts w:ascii="Calibri" w:eastAsia="Calibri" w:hAnsi="Calibri" w:cs="Times New Roman"/>
          <w:b/>
        </w:rPr>
        <w:t>Cugat</w:t>
      </w:r>
      <w:proofErr w:type="spellEnd"/>
      <w:r w:rsidR="007D62ED">
        <w:rPr>
          <w:rFonts w:ascii="Calibri" w:eastAsia="Calibri" w:hAnsi="Calibri" w:cs="Times New Roman"/>
          <w:b/>
        </w:rPr>
        <w:t xml:space="preserve"> Brasil</w:t>
      </w:r>
      <w:r>
        <w:rPr>
          <w:rFonts w:ascii="Calibri" w:eastAsia="Calibri" w:hAnsi="Calibri" w:cs="Times New Roman"/>
          <w:b/>
        </w:rPr>
        <w:tab/>
      </w:r>
    </w:p>
    <w:p w14:paraId="22AF8CB8" w14:textId="7BDBC55F" w:rsidR="00A92123" w:rsidRPr="00A92123" w:rsidRDefault="00A92123" w:rsidP="00A92123">
      <w:pPr>
        <w:spacing w:after="200" w:line="276" w:lineRule="auto"/>
        <w:contextualSpacing/>
        <w:rPr>
          <w:rFonts w:ascii="Calibri" w:eastAsia="Calibri" w:hAnsi="Calibri" w:cs="Times New Roman"/>
        </w:rPr>
      </w:pPr>
      <w:r w:rsidRPr="00A92123">
        <w:rPr>
          <w:rFonts w:ascii="Calibri" w:eastAsia="Calibri" w:hAnsi="Calibri" w:cs="Times New Roman"/>
          <w:b/>
        </w:rPr>
        <w:t xml:space="preserve">Titular: </w:t>
      </w:r>
      <w:r w:rsidR="007D62ED">
        <w:rPr>
          <w:rFonts w:ascii="Calibri" w:eastAsia="Calibri" w:hAnsi="Calibri" w:cs="Times New Roman"/>
        </w:rPr>
        <w:t>Supermercados Central Limitada</w:t>
      </w:r>
    </w:p>
    <w:p w14:paraId="43B62E4F" w14:textId="04F33619" w:rsidR="00A92123" w:rsidRPr="00A92123" w:rsidRDefault="00A92123" w:rsidP="00A92123">
      <w:pPr>
        <w:spacing w:after="200" w:line="276" w:lineRule="auto"/>
        <w:rPr>
          <w:rFonts w:ascii="Calibri" w:eastAsia="Calibri" w:hAnsi="Calibri" w:cs="Times New Roman"/>
          <w:b/>
        </w:rPr>
      </w:pPr>
      <w:r w:rsidRPr="00A92123">
        <w:rPr>
          <w:rFonts w:ascii="Calibri" w:eastAsia="Calibri" w:hAnsi="Calibri" w:cs="Times New Roman"/>
          <w:b/>
        </w:rPr>
        <w:t>Región</w:t>
      </w:r>
      <w:r w:rsidRPr="00A92123">
        <w:rPr>
          <w:rFonts w:ascii="Calibri" w:eastAsia="Calibri" w:hAnsi="Calibri" w:cs="Times New Roman"/>
        </w:rPr>
        <w:t xml:space="preserve">: Región </w:t>
      </w:r>
      <w:r w:rsidR="007D62ED">
        <w:rPr>
          <w:rFonts w:ascii="Calibri" w:eastAsia="Calibri" w:hAnsi="Calibri" w:cs="Times New Roman"/>
        </w:rPr>
        <w:t>del Libertador Bernardo O’Higgins</w:t>
      </w:r>
      <w:r>
        <w:rPr>
          <w:rFonts w:ascii="Calibri" w:eastAsia="Calibri" w:hAnsi="Calibri" w:cs="Times New Roman"/>
        </w:rPr>
        <w:t xml:space="preserve">, </w:t>
      </w:r>
      <w:r w:rsidR="009A462C">
        <w:rPr>
          <w:rFonts w:ascii="Calibri" w:eastAsia="Calibri" w:hAnsi="Calibri" w:cs="Times New Roman"/>
        </w:rPr>
        <w:t xml:space="preserve">comuna de </w:t>
      </w:r>
      <w:r w:rsidR="007D62ED">
        <w:rPr>
          <w:rFonts w:ascii="Calibri" w:eastAsia="Calibri" w:hAnsi="Calibri" w:cs="Times New Roman"/>
        </w:rPr>
        <w:t>Rancagua</w:t>
      </w:r>
      <w:r>
        <w:rPr>
          <w:rFonts w:ascii="Calibri" w:eastAsia="Calibri" w:hAnsi="Calibri" w:cs="Times New Roman"/>
        </w:rPr>
        <w:t>.</w:t>
      </w:r>
    </w:p>
    <w:p w14:paraId="4EA89DE7" w14:textId="5D030BE0" w:rsidR="00A92123" w:rsidRPr="00A92123" w:rsidRDefault="00A92123" w:rsidP="00A92123">
      <w:pPr>
        <w:spacing w:after="200" w:line="276" w:lineRule="auto"/>
        <w:rPr>
          <w:rFonts w:ascii="Calibri" w:eastAsia="Calibri" w:hAnsi="Calibri" w:cs="Times New Roman"/>
          <w:b/>
        </w:rPr>
      </w:pPr>
      <w:r w:rsidRPr="00A92123">
        <w:rPr>
          <w:rFonts w:ascii="Calibri" w:eastAsia="Calibri" w:hAnsi="Calibri" w:cs="Times New Roman"/>
          <w:b/>
        </w:rPr>
        <w:t xml:space="preserve">Informe asociado a corrección temprana: </w:t>
      </w:r>
      <w:r w:rsidR="007D62ED" w:rsidRPr="007D62ED">
        <w:rPr>
          <w:rFonts w:ascii="Calibri" w:eastAsia="Calibri" w:hAnsi="Calibri" w:cs="Times New Roman"/>
        </w:rPr>
        <w:t>DFZ-2018-1332-VI-PPDA</w:t>
      </w:r>
      <w:r w:rsidR="007D62ED">
        <w:rPr>
          <w:rFonts w:ascii="Calibri" w:eastAsia="Calibri" w:hAnsi="Calibri" w:cs="Times New Roman"/>
        </w:rPr>
        <w:t xml:space="preserve"> y </w:t>
      </w:r>
      <w:r w:rsidR="007D62ED" w:rsidRPr="007D62ED">
        <w:rPr>
          <w:rFonts w:ascii="Calibri" w:eastAsia="Calibri" w:hAnsi="Calibri" w:cs="Times New Roman"/>
        </w:rPr>
        <w:t>DFZ-2018-1965-VI-PPDA</w:t>
      </w:r>
      <w:r>
        <w:rPr>
          <w:rFonts w:ascii="Calibri" w:eastAsia="Calibri" w:hAnsi="Calibri" w:cs="Times New Roman"/>
        </w:rPr>
        <w:t>.</w:t>
      </w:r>
    </w:p>
    <w:p w14:paraId="185C37C4" w14:textId="58EB7E38" w:rsidR="00A92123" w:rsidRPr="00A92123" w:rsidRDefault="00A92123" w:rsidP="00A92123">
      <w:pPr>
        <w:spacing w:after="200" w:line="276" w:lineRule="auto"/>
        <w:rPr>
          <w:rFonts w:ascii="Calibri" w:eastAsia="Calibri" w:hAnsi="Calibri" w:cs="Times New Roman"/>
        </w:rPr>
      </w:pPr>
      <w:r w:rsidRPr="00A92123">
        <w:rPr>
          <w:rFonts w:ascii="Calibri" w:eastAsia="Calibri" w:hAnsi="Calibri" w:cs="Times New Roman"/>
          <w:b/>
        </w:rPr>
        <w:t>Existencia de denuncias asociadas a la fecha del envío de la carta de invitación</w:t>
      </w:r>
      <w:r w:rsidRPr="00A92123">
        <w:rPr>
          <w:rFonts w:ascii="Calibri" w:eastAsia="Calibri" w:hAnsi="Calibri" w:cs="Times New Roman"/>
        </w:rPr>
        <w:t>:</w:t>
      </w:r>
      <w:r w:rsidR="009A462C">
        <w:rPr>
          <w:rFonts w:ascii="Calibri" w:eastAsia="Calibri" w:hAnsi="Calibri" w:cs="Times New Roman"/>
        </w:rPr>
        <w:t xml:space="preserve"> No</w:t>
      </w:r>
      <w:r w:rsidR="002E1883">
        <w:rPr>
          <w:rFonts w:ascii="Calibri" w:eastAsia="Calibri" w:hAnsi="Calibri" w:cs="Times New Roman"/>
        </w:rPr>
        <w:t>.</w:t>
      </w:r>
    </w:p>
    <w:p w14:paraId="3FFC78F9" w14:textId="779BECAE" w:rsidR="00A92123" w:rsidRPr="00A92123" w:rsidRDefault="00A92123" w:rsidP="00A92123">
      <w:pPr>
        <w:spacing w:after="200" w:line="276" w:lineRule="auto"/>
        <w:rPr>
          <w:rFonts w:ascii="Calibri" w:eastAsia="Calibri" w:hAnsi="Calibri" w:cs="Times New Roman"/>
          <w:b/>
        </w:rPr>
      </w:pPr>
      <w:r w:rsidRPr="00A92123">
        <w:rPr>
          <w:rFonts w:ascii="Calibri" w:eastAsia="Calibri" w:hAnsi="Calibri" w:cs="Times New Roman"/>
          <w:b/>
        </w:rPr>
        <w:t>Análisis de los hallazgos:</w:t>
      </w:r>
    </w:p>
    <w:tbl>
      <w:tblPr>
        <w:tblStyle w:val="Tablaconcuadrcula"/>
        <w:tblW w:w="5000" w:type="pct"/>
        <w:tblLook w:val="04A0" w:firstRow="1" w:lastRow="0" w:firstColumn="1" w:lastColumn="0" w:noHBand="0" w:noVBand="1"/>
      </w:tblPr>
      <w:tblGrid>
        <w:gridCol w:w="397"/>
        <w:gridCol w:w="1165"/>
        <w:gridCol w:w="2534"/>
        <w:gridCol w:w="1834"/>
        <w:gridCol w:w="7292"/>
      </w:tblGrid>
      <w:tr w:rsidR="00660104" w:rsidRPr="005E49EF" w14:paraId="4E1494F7" w14:textId="77777777" w:rsidTr="00660104">
        <w:trPr>
          <w:tblHeader/>
        </w:trPr>
        <w:tc>
          <w:tcPr>
            <w:tcW w:w="151"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5335A3F" w14:textId="77777777" w:rsidR="00285C61" w:rsidRPr="005E49EF" w:rsidRDefault="00285C61" w:rsidP="00AC4B47">
            <w:pPr>
              <w:rPr>
                <w:rFonts w:cs="Arial"/>
                <w:b/>
                <w:sz w:val="18"/>
                <w:szCs w:val="18"/>
              </w:rPr>
            </w:pPr>
            <w:r w:rsidRPr="005E49EF">
              <w:rPr>
                <w:rFonts w:cs="Arial"/>
                <w:b/>
                <w:sz w:val="18"/>
                <w:szCs w:val="18"/>
              </w:rPr>
              <w:t>N°</w:t>
            </w:r>
          </w:p>
        </w:tc>
        <w:tc>
          <w:tcPr>
            <w:tcW w:w="426"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E19FC34" w14:textId="77777777" w:rsidR="00285C61" w:rsidRPr="005E49EF" w:rsidRDefault="00285C61" w:rsidP="00AC4B47">
            <w:pPr>
              <w:jc w:val="center"/>
              <w:rPr>
                <w:rFonts w:cs="Arial"/>
                <w:b/>
                <w:sz w:val="18"/>
                <w:szCs w:val="18"/>
              </w:rPr>
            </w:pPr>
            <w:r w:rsidRPr="005E49EF">
              <w:rPr>
                <w:rFonts w:cs="Arial"/>
                <w:b/>
                <w:sz w:val="18"/>
                <w:szCs w:val="18"/>
              </w:rPr>
              <w:t xml:space="preserve">Materia </w:t>
            </w:r>
          </w:p>
        </w:tc>
        <w:tc>
          <w:tcPr>
            <w:tcW w:w="965"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5ED1E26" w14:textId="77777777" w:rsidR="00285C61" w:rsidRPr="005E49EF" w:rsidRDefault="00285C61" w:rsidP="00AC4B47">
            <w:pPr>
              <w:jc w:val="center"/>
              <w:rPr>
                <w:rFonts w:cs="Arial"/>
                <w:b/>
                <w:sz w:val="18"/>
                <w:szCs w:val="18"/>
              </w:rPr>
            </w:pPr>
            <w:r w:rsidRPr="005E49EF">
              <w:rPr>
                <w:rFonts w:cs="Arial"/>
                <w:b/>
                <w:sz w:val="18"/>
                <w:szCs w:val="18"/>
              </w:rPr>
              <w:t>Exigencia asociada</w:t>
            </w:r>
          </w:p>
        </w:tc>
        <w:tc>
          <w:tcPr>
            <w:tcW w:w="69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44AA67AE" w14:textId="77777777" w:rsidR="00285C61" w:rsidRPr="005E49EF" w:rsidRDefault="00285C61" w:rsidP="00AC4B47">
            <w:pPr>
              <w:jc w:val="center"/>
              <w:rPr>
                <w:rFonts w:cs="Arial"/>
                <w:b/>
                <w:sz w:val="18"/>
                <w:szCs w:val="18"/>
              </w:rPr>
            </w:pPr>
            <w:r w:rsidRPr="005E49EF">
              <w:rPr>
                <w:rFonts w:cs="Arial"/>
                <w:b/>
                <w:sz w:val="18"/>
                <w:szCs w:val="18"/>
              </w:rPr>
              <w:t>No conformidad</w:t>
            </w:r>
          </w:p>
        </w:tc>
        <w:tc>
          <w:tcPr>
            <w:tcW w:w="2761"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85849D0" w14:textId="77777777" w:rsidR="00285C61" w:rsidRPr="00C006F0" w:rsidRDefault="00285C61" w:rsidP="00AC4B47">
            <w:pPr>
              <w:jc w:val="center"/>
              <w:rPr>
                <w:rFonts w:eastAsia="Calibri" w:cs="Calibri"/>
                <w:b/>
                <w:sz w:val="18"/>
                <w:szCs w:val="18"/>
                <w:lang w:eastAsia="es-ES"/>
              </w:rPr>
            </w:pPr>
            <w:r w:rsidRPr="00C006F0">
              <w:rPr>
                <w:rFonts w:eastAsia="Calibri" w:cs="Calibri"/>
                <w:b/>
                <w:sz w:val="18"/>
                <w:szCs w:val="18"/>
                <w:lang w:eastAsia="es-ES"/>
              </w:rPr>
              <w:t>Análisis DSC 1</w:t>
            </w:r>
          </w:p>
        </w:tc>
      </w:tr>
      <w:tr w:rsidR="00660104" w:rsidRPr="005E49EF" w14:paraId="2ED3EC01" w14:textId="77777777" w:rsidTr="00660104">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06A3B0DC" w14:textId="67F73F1E" w:rsidR="00285C61" w:rsidRPr="005E49EF" w:rsidRDefault="00285C61" w:rsidP="00AC4B47">
            <w:pPr>
              <w:widowControl w:val="0"/>
              <w:overflowPunct w:val="0"/>
              <w:autoSpaceDE w:val="0"/>
              <w:autoSpaceDN w:val="0"/>
              <w:adjustRightInd w:val="0"/>
              <w:rPr>
                <w:rFonts w:cstheme="minorHAnsi"/>
                <w:iCs/>
                <w:sz w:val="18"/>
                <w:szCs w:val="18"/>
              </w:rPr>
            </w:pPr>
            <w:r>
              <w:rPr>
                <w:rFonts w:cstheme="minorHAnsi"/>
                <w:iCs/>
                <w:sz w:val="18"/>
                <w:szCs w:val="18"/>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0C49554" w14:textId="6462C61F" w:rsidR="00285C61" w:rsidRPr="005E49EF" w:rsidRDefault="007D62ED" w:rsidP="00AC4B47">
            <w:pPr>
              <w:widowControl w:val="0"/>
              <w:overflowPunct w:val="0"/>
              <w:autoSpaceDE w:val="0"/>
              <w:autoSpaceDN w:val="0"/>
              <w:adjustRightInd w:val="0"/>
              <w:jc w:val="both"/>
              <w:rPr>
                <w:sz w:val="18"/>
                <w:szCs w:val="18"/>
              </w:rPr>
            </w:pPr>
            <w:r>
              <w:rPr>
                <w:iCs/>
                <w:sz w:val="18"/>
                <w:szCs w:val="18"/>
              </w:rPr>
              <w:t>Grupos electrógenos</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1CC6CBA6" w14:textId="4888E5CA" w:rsidR="00285C61" w:rsidRPr="00285C61" w:rsidRDefault="007D62ED" w:rsidP="00285C61">
            <w:pPr>
              <w:jc w:val="both"/>
              <w:rPr>
                <w:b/>
                <w:bCs/>
                <w:sz w:val="18"/>
                <w:szCs w:val="18"/>
                <w:u w:val="single"/>
              </w:rPr>
            </w:pPr>
            <w:r>
              <w:rPr>
                <w:b/>
                <w:bCs/>
                <w:sz w:val="18"/>
                <w:szCs w:val="18"/>
                <w:u w:val="single"/>
              </w:rPr>
              <w:t>Artículo 27 del D.S. N° 15/2013 PPDA de Valle Central</w:t>
            </w:r>
          </w:p>
          <w:p w14:paraId="0EA4195B" w14:textId="5DBF80B2" w:rsidR="00285C61" w:rsidRPr="007D62ED" w:rsidRDefault="008C1FF1" w:rsidP="008C1FF1">
            <w:pPr>
              <w:jc w:val="both"/>
              <w:rPr>
                <w:bCs/>
                <w:i/>
                <w:sz w:val="18"/>
                <w:szCs w:val="18"/>
              </w:rPr>
            </w:pPr>
            <w:r>
              <w:rPr>
                <w:bCs/>
                <w:i/>
                <w:sz w:val="18"/>
                <w:szCs w:val="18"/>
              </w:rPr>
              <w:t>“</w:t>
            </w:r>
            <w:r w:rsidRPr="008C1FF1">
              <w:rPr>
                <w:bCs/>
                <w:i/>
                <w:sz w:val="18"/>
                <w:szCs w:val="18"/>
              </w:rPr>
              <w:t>Transcurridos doce meses de</w:t>
            </w:r>
            <w:r>
              <w:rPr>
                <w:bCs/>
                <w:i/>
                <w:sz w:val="18"/>
                <w:szCs w:val="18"/>
              </w:rPr>
              <w:t xml:space="preserve">sde la publicación del presente </w:t>
            </w:r>
            <w:r w:rsidRPr="008C1FF1">
              <w:rPr>
                <w:bCs/>
                <w:i/>
                <w:sz w:val="18"/>
                <w:szCs w:val="18"/>
              </w:rPr>
              <w:t>decreto en el Diario Oficial, los grupos electrógenos instalados o que se instalen</w:t>
            </w:r>
            <w:r>
              <w:rPr>
                <w:bCs/>
                <w:i/>
                <w:sz w:val="18"/>
                <w:szCs w:val="18"/>
              </w:rPr>
              <w:t xml:space="preserve"> </w:t>
            </w:r>
            <w:r w:rsidRPr="008C1FF1">
              <w:rPr>
                <w:bCs/>
                <w:i/>
                <w:sz w:val="18"/>
                <w:szCs w:val="18"/>
              </w:rPr>
              <w:t xml:space="preserve">en la zona saturada deberán contar con un </w:t>
            </w:r>
            <w:proofErr w:type="spellStart"/>
            <w:r w:rsidRPr="008C1FF1">
              <w:rPr>
                <w:bCs/>
                <w:i/>
                <w:sz w:val="18"/>
                <w:szCs w:val="18"/>
              </w:rPr>
              <w:t>horómetro</w:t>
            </w:r>
            <w:proofErr w:type="spellEnd"/>
            <w:r w:rsidRPr="008C1FF1">
              <w:rPr>
                <w:bCs/>
                <w:i/>
                <w:sz w:val="18"/>
                <w:szCs w:val="18"/>
              </w:rPr>
              <w:t xml:space="preserve"> digital, sellado e inviolable,</w:t>
            </w:r>
            <w:r>
              <w:rPr>
                <w:bCs/>
                <w:i/>
                <w:sz w:val="18"/>
                <w:szCs w:val="18"/>
              </w:rPr>
              <w:t xml:space="preserve"> </w:t>
            </w:r>
            <w:r w:rsidRPr="008C1FF1">
              <w:rPr>
                <w:bCs/>
                <w:i/>
                <w:sz w:val="18"/>
                <w:szCs w:val="18"/>
              </w:rPr>
              <w:t>sin vuelta a cero, con el cual se medirán sus horas de funcionamiento, las que</w:t>
            </w:r>
            <w:r>
              <w:rPr>
                <w:bCs/>
                <w:i/>
                <w:sz w:val="18"/>
                <w:szCs w:val="18"/>
              </w:rPr>
              <w:t xml:space="preserve"> deberán ser registradas e informadas anualmente a la </w:t>
            </w:r>
            <w:r w:rsidRPr="008C1FF1">
              <w:rPr>
                <w:bCs/>
                <w:i/>
                <w:sz w:val="18"/>
                <w:szCs w:val="18"/>
              </w:rPr>
              <w:t>Superintendencia del Medio</w:t>
            </w:r>
            <w:r>
              <w:rPr>
                <w:bCs/>
                <w:i/>
                <w:sz w:val="18"/>
                <w:szCs w:val="18"/>
              </w:rPr>
              <w:t xml:space="preserve"> </w:t>
            </w:r>
            <w:r w:rsidRPr="008C1FF1">
              <w:rPr>
                <w:bCs/>
                <w:i/>
                <w:sz w:val="18"/>
                <w:szCs w:val="18"/>
              </w:rPr>
              <w:t>Ambiente.</w:t>
            </w:r>
            <w:r>
              <w:rPr>
                <w:bCs/>
                <w:i/>
                <w:sz w:val="18"/>
                <w:szCs w:val="18"/>
              </w:rPr>
              <w:t>”</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57E49D55" w14:textId="1C92EF25" w:rsidR="00285C61" w:rsidRPr="005E49EF" w:rsidRDefault="007D62ED" w:rsidP="00285C61">
            <w:pPr>
              <w:widowControl w:val="0"/>
              <w:overflowPunct w:val="0"/>
              <w:autoSpaceDE w:val="0"/>
              <w:autoSpaceDN w:val="0"/>
              <w:adjustRightInd w:val="0"/>
              <w:jc w:val="both"/>
              <w:rPr>
                <w:rFonts w:cstheme="minorHAnsi"/>
                <w:sz w:val="18"/>
                <w:szCs w:val="18"/>
              </w:rPr>
            </w:pPr>
            <w:r>
              <w:rPr>
                <w:rFonts w:cstheme="minorHAnsi"/>
                <w:sz w:val="18"/>
                <w:szCs w:val="18"/>
              </w:rPr>
              <w:t xml:space="preserve">Cuenta con 1 grupo electrógeno que se encuentra ubicado en bodega de segundo piso, sin acceso restringido. Al momento de la fiscalización el encargado desconoce si han realizado la declaración de horas de funcionamiento en ventanilla única. </w:t>
            </w:r>
          </w:p>
        </w:tc>
        <w:tc>
          <w:tcPr>
            <w:tcW w:w="2761" w:type="pct"/>
            <w:tcBorders>
              <w:top w:val="single" w:sz="4" w:space="0" w:color="auto"/>
              <w:left w:val="single" w:sz="4" w:space="0" w:color="auto"/>
              <w:right w:val="single" w:sz="4" w:space="0" w:color="auto"/>
            </w:tcBorders>
            <w:shd w:val="clear" w:color="auto" w:fill="auto"/>
          </w:tcPr>
          <w:p w14:paraId="78749B12" w14:textId="77777777" w:rsidR="00285C61" w:rsidRPr="005E49EF" w:rsidRDefault="00285C61" w:rsidP="00AC4B47">
            <w:pPr>
              <w:jc w:val="both"/>
              <w:rPr>
                <w:rFonts w:cs="Arial"/>
                <w:b/>
                <w:sz w:val="18"/>
                <w:szCs w:val="18"/>
              </w:rPr>
            </w:pPr>
            <w:r w:rsidRPr="005E49EF">
              <w:rPr>
                <w:rFonts w:cs="Arial"/>
                <w:b/>
                <w:sz w:val="18"/>
                <w:szCs w:val="18"/>
              </w:rPr>
              <w:t>Hechos</w:t>
            </w:r>
          </w:p>
          <w:p w14:paraId="71409DFC" w14:textId="6145E7AD" w:rsidR="00285C61" w:rsidRPr="00285C61" w:rsidRDefault="00285C61" w:rsidP="00035440">
            <w:pPr>
              <w:pStyle w:val="Prrafodelista"/>
              <w:numPr>
                <w:ilvl w:val="0"/>
                <w:numId w:val="2"/>
              </w:numPr>
              <w:jc w:val="both"/>
              <w:rPr>
                <w:rFonts w:cs="Arial"/>
                <w:sz w:val="18"/>
                <w:szCs w:val="18"/>
              </w:rPr>
            </w:pPr>
            <w:r w:rsidRPr="00285C61">
              <w:rPr>
                <w:rFonts w:cs="Arial"/>
                <w:sz w:val="18"/>
                <w:szCs w:val="18"/>
              </w:rPr>
              <w:t xml:space="preserve">Durante la actividad de inspección </w:t>
            </w:r>
            <w:r w:rsidR="00B63E5E">
              <w:rPr>
                <w:rFonts w:cs="Arial"/>
                <w:sz w:val="18"/>
                <w:szCs w:val="18"/>
              </w:rPr>
              <w:t xml:space="preserve">de fecha 25 de mayo de 2018, </w:t>
            </w:r>
            <w:r w:rsidRPr="00285C61">
              <w:rPr>
                <w:rFonts w:cs="Arial"/>
                <w:sz w:val="18"/>
                <w:szCs w:val="18"/>
              </w:rPr>
              <w:t xml:space="preserve">se constata </w:t>
            </w:r>
            <w:r w:rsidR="008C1FF1">
              <w:rPr>
                <w:rFonts w:cs="Arial"/>
                <w:sz w:val="18"/>
                <w:szCs w:val="18"/>
              </w:rPr>
              <w:t xml:space="preserve">un grupo electrógeno que se encuentra ubicado en bodega de segundo piso, sin acceso restringido, con las siguientes características: marca </w:t>
            </w:r>
            <w:proofErr w:type="spellStart"/>
            <w:r w:rsidR="008C1FF1">
              <w:rPr>
                <w:rFonts w:cs="Arial"/>
                <w:sz w:val="18"/>
                <w:szCs w:val="18"/>
              </w:rPr>
              <w:t>Lureye</w:t>
            </w:r>
            <w:proofErr w:type="spellEnd"/>
            <w:r w:rsidR="008C1FF1">
              <w:rPr>
                <w:rFonts w:cs="Arial"/>
                <w:sz w:val="18"/>
                <w:szCs w:val="18"/>
              </w:rPr>
              <w:t xml:space="preserve">, modelo T6.354, serio 1288453, tipo de combustible petróleo, </w:t>
            </w:r>
            <w:proofErr w:type="spellStart"/>
            <w:r w:rsidR="008C1FF1">
              <w:rPr>
                <w:rFonts w:cs="Arial"/>
                <w:sz w:val="18"/>
                <w:szCs w:val="18"/>
              </w:rPr>
              <w:t>horómetro</w:t>
            </w:r>
            <w:proofErr w:type="spellEnd"/>
            <w:r w:rsidR="008C1FF1">
              <w:rPr>
                <w:rFonts w:cs="Arial"/>
                <w:sz w:val="18"/>
                <w:szCs w:val="18"/>
              </w:rPr>
              <w:t xml:space="preserve"> análogo sellado, horas acumuladas 5210,11 </w:t>
            </w:r>
            <w:proofErr w:type="spellStart"/>
            <w:r w:rsidR="008C1FF1">
              <w:rPr>
                <w:rFonts w:cs="Arial"/>
                <w:sz w:val="18"/>
                <w:szCs w:val="18"/>
              </w:rPr>
              <w:t>hrs</w:t>
            </w:r>
            <w:proofErr w:type="spellEnd"/>
            <w:r w:rsidR="008C1FF1">
              <w:rPr>
                <w:rFonts w:cs="Arial"/>
                <w:sz w:val="18"/>
                <w:szCs w:val="18"/>
              </w:rPr>
              <w:t>.</w:t>
            </w:r>
          </w:p>
          <w:p w14:paraId="56F9B080" w14:textId="66158A2D" w:rsidR="00285C61" w:rsidRPr="00285C61" w:rsidRDefault="002509B3" w:rsidP="00035440">
            <w:pPr>
              <w:pStyle w:val="Prrafodelista"/>
              <w:numPr>
                <w:ilvl w:val="0"/>
                <w:numId w:val="2"/>
              </w:numPr>
              <w:jc w:val="both"/>
              <w:rPr>
                <w:rFonts w:cs="Arial"/>
                <w:sz w:val="18"/>
                <w:szCs w:val="18"/>
              </w:rPr>
            </w:pPr>
            <w:r>
              <w:rPr>
                <w:rFonts w:cs="Arial"/>
                <w:sz w:val="18"/>
                <w:szCs w:val="18"/>
              </w:rPr>
              <w:t>Al momento de la fiscalización el encargado desconoce si han realizado la declaración de horas de funcionamiento en ventanilla única.</w:t>
            </w:r>
          </w:p>
          <w:p w14:paraId="43F5042E" w14:textId="21628AA8" w:rsidR="00285C61" w:rsidRPr="00285C61" w:rsidRDefault="002509B3" w:rsidP="00035440">
            <w:pPr>
              <w:pStyle w:val="Prrafodelista"/>
              <w:numPr>
                <w:ilvl w:val="0"/>
                <w:numId w:val="2"/>
              </w:numPr>
              <w:jc w:val="both"/>
              <w:rPr>
                <w:rFonts w:cs="Arial"/>
                <w:sz w:val="18"/>
                <w:szCs w:val="18"/>
              </w:rPr>
            </w:pPr>
            <w:r>
              <w:rPr>
                <w:rFonts w:cs="Arial"/>
                <w:sz w:val="18"/>
                <w:szCs w:val="18"/>
              </w:rPr>
              <w:t>Se constató la existencia de un segundo grupo electrógeno el cual se encu</w:t>
            </w:r>
            <w:r w:rsidR="003F187B">
              <w:rPr>
                <w:rFonts w:cs="Arial"/>
                <w:sz w:val="18"/>
                <w:szCs w:val="18"/>
              </w:rPr>
              <w:t>entra instalado hace una semana y se encuentra en etapa de prueba y aún no ha sido puesto en funcionamiento. Este equipo se encuentra cerrado por lo que no se pudo leer y constatar las horas de funcionamiento y placa.</w:t>
            </w:r>
          </w:p>
          <w:p w14:paraId="56E4E6EC" w14:textId="77777777" w:rsidR="00285C61" w:rsidRPr="005E49EF" w:rsidRDefault="00285C61" w:rsidP="00AC4B47">
            <w:pPr>
              <w:jc w:val="both"/>
              <w:rPr>
                <w:rFonts w:cs="Arial"/>
                <w:sz w:val="18"/>
                <w:szCs w:val="18"/>
              </w:rPr>
            </w:pPr>
          </w:p>
          <w:p w14:paraId="15E5184E" w14:textId="5262612F" w:rsidR="009C4445" w:rsidRPr="003F187B" w:rsidRDefault="00285C61" w:rsidP="003F187B">
            <w:pPr>
              <w:jc w:val="both"/>
              <w:rPr>
                <w:rFonts w:cs="Arial"/>
                <w:b/>
                <w:sz w:val="18"/>
                <w:szCs w:val="18"/>
              </w:rPr>
            </w:pPr>
            <w:r w:rsidRPr="00660104">
              <w:rPr>
                <w:rFonts w:cs="Arial"/>
                <w:b/>
                <w:sz w:val="18"/>
                <w:szCs w:val="18"/>
              </w:rPr>
              <w:t>Observaciones</w:t>
            </w:r>
          </w:p>
          <w:p w14:paraId="3FC0AC66" w14:textId="71569CCE" w:rsidR="00094A86" w:rsidRDefault="00982B3A" w:rsidP="003F187B">
            <w:pPr>
              <w:pStyle w:val="Prrafodelista"/>
              <w:numPr>
                <w:ilvl w:val="0"/>
                <w:numId w:val="1"/>
              </w:numPr>
              <w:ind w:left="315"/>
              <w:jc w:val="both"/>
              <w:rPr>
                <w:rFonts w:cs="Arial"/>
                <w:sz w:val="18"/>
                <w:szCs w:val="18"/>
              </w:rPr>
            </w:pPr>
            <w:r>
              <w:rPr>
                <w:rFonts w:cs="Arial"/>
                <w:sz w:val="18"/>
                <w:szCs w:val="18"/>
              </w:rPr>
              <w:t>Respecto del primer grupo electrógeno es posible concluir que no se han informado las horas de funcionamiento anual a la Superintendencia del Medio Ambiente.</w:t>
            </w:r>
          </w:p>
          <w:p w14:paraId="25BD6E16" w14:textId="77777777" w:rsidR="003F187B" w:rsidRPr="003F187B" w:rsidRDefault="003F187B" w:rsidP="003F187B">
            <w:pPr>
              <w:pStyle w:val="Prrafodelista"/>
              <w:ind w:left="315"/>
              <w:jc w:val="both"/>
              <w:rPr>
                <w:rFonts w:cs="Arial"/>
                <w:sz w:val="18"/>
                <w:szCs w:val="18"/>
              </w:rPr>
            </w:pPr>
          </w:p>
          <w:p w14:paraId="5AD83310" w14:textId="6D5B24B5" w:rsidR="00285C61" w:rsidRPr="00982B3A" w:rsidRDefault="00982B3A" w:rsidP="00982B3A">
            <w:pPr>
              <w:pStyle w:val="Prrafodelista"/>
              <w:numPr>
                <w:ilvl w:val="0"/>
                <w:numId w:val="1"/>
              </w:numPr>
              <w:ind w:left="315"/>
              <w:jc w:val="both"/>
              <w:rPr>
                <w:rFonts w:cs="Arial"/>
                <w:sz w:val="18"/>
                <w:szCs w:val="18"/>
              </w:rPr>
            </w:pPr>
            <w:r>
              <w:rPr>
                <w:rFonts w:cs="Arial"/>
                <w:sz w:val="18"/>
                <w:szCs w:val="18"/>
              </w:rPr>
              <w:t xml:space="preserve">Respecto del segundo grupo electrógeno constatado en la fiscalización no es posible configurar una infracción al </w:t>
            </w:r>
            <w:r w:rsidRPr="00B63E5E">
              <w:rPr>
                <w:rFonts w:cs="Arial"/>
                <w:bCs/>
                <w:sz w:val="18"/>
                <w:szCs w:val="18"/>
              </w:rPr>
              <w:t>D.S. N° 15/2013</w:t>
            </w:r>
            <w:r>
              <w:rPr>
                <w:rFonts w:cs="Arial"/>
                <w:bCs/>
                <w:sz w:val="18"/>
                <w:szCs w:val="18"/>
              </w:rPr>
              <w:t xml:space="preserve"> toda vez que todavía no se encuentra en operación</w:t>
            </w:r>
          </w:p>
          <w:p w14:paraId="5C9C1C6D" w14:textId="77777777" w:rsidR="00982B3A" w:rsidRPr="00982B3A" w:rsidRDefault="00982B3A" w:rsidP="00982B3A">
            <w:pPr>
              <w:pStyle w:val="Prrafodelista"/>
              <w:ind w:left="315"/>
              <w:jc w:val="both"/>
              <w:rPr>
                <w:rFonts w:cs="Arial"/>
                <w:sz w:val="18"/>
                <w:szCs w:val="18"/>
              </w:rPr>
            </w:pPr>
          </w:p>
          <w:p w14:paraId="412E788F" w14:textId="64629F74" w:rsidR="00A260CE" w:rsidRPr="009C4445" w:rsidRDefault="00A260CE" w:rsidP="00982B3A">
            <w:pPr>
              <w:jc w:val="both"/>
              <w:rPr>
                <w:rFonts w:cs="Arial"/>
                <w:sz w:val="18"/>
                <w:szCs w:val="18"/>
              </w:rPr>
            </w:pPr>
            <w:r w:rsidRPr="00A260CE">
              <w:rPr>
                <w:rFonts w:cs="Arial"/>
                <w:b/>
                <w:sz w:val="18"/>
                <w:szCs w:val="18"/>
              </w:rPr>
              <w:t>Conclusiones</w:t>
            </w:r>
            <w:r w:rsidR="009C4445">
              <w:rPr>
                <w:rFonts w:cs="Arial"/>
                <w:sz w:val="18"/>
                <w:szCs w:val="18"/>
              </w:rPr>
              <w:t xml:space="preserve">: </w:t>
            </w:r>
            <w:r w:rsidR="003F187B">
              <w:rPr>
                <w:rFonts w:cs="Arial"/>
                <w:sz w:val="18"/>
                <w:szCs w:val="18"/>
              </w:rPr>
              <w:t>El hallazgo constatado</w:t>
            </w:r>
            <w:r w:rsidR="00094A86" w:rsidRPr="009C4445">
              <w:rPr>
                <w:rFonts w:cs="Arial"/>
                <w:sz w:val="18"/>
                <w:szCs w:val="18"/>
              </w:rPr>
              <w:t xml:space="preserve"> en el acta</w:t>
            </w:r>
            <w:r w:rsidR="00982B3A">
              <w:rPr>
                <w:rFonts w:cs="Arial"/>
                <w:sz w:val="18"/>
                <w:szCs w:val="18"/>
              </w:rPr>
              <w:t xml:space="preserve"> referido al primer grupo electrógeno </w:t>
            </w:r>
            <w:r w:rsidR="003F187B">
              <w:rPr>
                <w:rFonts w:cs="Arial"/>
                <w:sz w:val="18"/>
                <w:szCs w:val="18"/>
              </w:rPr>
              <w:t xml:space="preserve">tiene </w:t>
            </w:r>
            <w:r w:rsidR="00094A86" w:rsidRPr="009C4445">
              <w:rPr>
                <w:rFonts w:cs="Arial"/>
                <w:sz w:val="18"/>
                <w:szCs w:val="18"/>
              </w:rPr>
              <w:t>méri</w:t>
            </w:r>
            <w:r w:rsidR="003F187B">
              <w:rPr>
                <w:rFonts w:cs="Arial"/>
                <w:sz w:val="18"/>
                <w:szCs w:val="18"/>
              </w:rPr>
              <w:t>to suficiente para ser estimado</w:t>
            </w:r>
            <w:r w:rsidR="00094A86" w:rsidRPr="009C4445">
              <w:rPr>
                <w:rFonts w:cs="Arial"/>
                <w:sz w:val="18"/>
                <w:szCs w:val="18"/>
              </w:rPr>
              <w:t xml:space="preserve"> como una infracci</w:t>
            </w:r>
            <w:r w:rsidR="003F187B">
              <w:rPr>
                <w:rFonts w:cs="Arial"/>
                <w:sz w:val="18"/>
                <w:szCs w:val="18"/>
              </w:rPr>
              <w:t xml:space="preserve">ón al </w:t>
            </w:r>
            <w:r w:rsidR="00B63E5E" w:rsidRPr="00B63E5E">
              <w:rPr>
                <w:rFonts w:cs="Arial"/>
                <w:bCs/>
                <w:sz w:val="18"/>
                <w:szCs w:val="18"/>
              </w:rPr>
              <w:t>D.S. N° 15/2013</w:t>
            </w:r>
            <w:r w:rsidR="00982B3A">
              <w:rPr>
                <w:rFonts w:cs="Arial"/>
                <w:sz w:val="18"/>
                <w:szCs w:val="18"/>
              </w:rPr>
              <w:t>.</w:t>
            </w:r>
          </w:p>
        </w:tc>
      </w:tr>
    </w:tbl>
    <w:p w14:paraId="3FCE1369" w14:textId="3187C54E" w:rsidR="00397BEB" w:rsidRDefault="00397BEB" w:rsidP="001B3C5D">
      <w:pPr>
        <w:spacing w:after="0" w:line="240" w:lineRule="auto"/>
        <w:rPr>
          <w:rFonts w:ascii="Calibri" w:hAnsi="Calibri" w:cs="Arial"/>
          <w:b/>
          <w:color w:val="FF0000"/>
          <w:sz w:val="20"/>
          <w:szCs w:val="20"/>
        </w:rPr>
      </w:pPr>
    </w:p>
    <w:tbl>
      <w:tblPr>
        <w:tblStyle w:val="Tablaconcuadrcula"/>
        <w:tblW w:w="5000" w:type="pct"/>
        <w:tblLayout w:type="fixed"/>
        <w:tblLook w:val="04A0" w:firstRow="1" w:lastRow="0" w:firstColumn="1" w:lastColumn="0" w:noHBand="0" w:noVBand="1"/>
      </w:tblPr>
      <w:tblGrid>
        <w:gridCol w:w="399"/>
        <w:gridCol w:w="1127"/>
        <w:gridCol w:w="2552"/>
        <w:gridCol w:w="1843"/>
        <w:gridCol w:w="7301"/>
      </w:tblGrid>
      <w:tr w:rsidR="00660104" w:rsidRPr="005E49EF" w14:paraId="74CFAAE0" w14:textId="77777777" w:rsidTr="006619D2">
        <w:trPr>
          <w:tblHeader/>
        </w:trPr>
        <w:tc>
          <w:tcPr>
            <w:tcW w:w="151"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A5A39E" w14:textId="77777777" w:rsidR="00285C61" w:rsidRPr="005E49EF" w:rsidRDefault="00285C61" w:rsidP="00AC4B47">
            <w:pPr>
              <w:rPr>
                <w:rFonts w:cs="Arial"/>
                <w:b/>
                <w:sz w:val="18"/>
                <w:szCs w:val="18"/>
              </w:rPr>
            </w:pPr>
            <w:r w:rsidRPr="005E49EF">
              <w:rPr>
                <w:rFonts w:cs="Arial"/>
                <w:b/>
                <w:sz w:val="18"/>
                <w:szCs w:val="18"/>
              </w:rPr>
              <w:t>N°</w:t>
            </w:r>
          </w:p>
        </w:tc>
        <w:tc>
          <w:tcPr>
            <w:tcW w:w="426"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4482B1B9" w14:textId="77777777" w:rsidR="00285C61" w:rsidRPr="005E49EF" w:rsidRDefault="00285C61" w:rsidP="00AC4B47">
            <w:pPr>
              <w:jc w:val="center"/>
              <w:rPr>
                <w:rFonts w:cs="Arial"/>
                <w:b/>
                <w:sz w:val="18"/>
                <w:szCs w:val="18"/>
              </w:rPr>
            </w:pPr>
            <w:r w:rsidRPr="005E49EF">
              <w:rPr>
                <w:rFonts w:cs="Arial"/>
                <w:b/>
                <w:sz w:val="18"/>
                <w:szCs w:val="18"/>
              </w:rPr>
              <w:t xml:space="preserve">Materia </w:t>
            </w:r>
          </w:p>
        </w:tc>
        <w:tc>
          <w:tcPr>
            <w:tcW w:w="965"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4E8F16D" w14:textId="77777777" w:rsidR="00285C61" w:rsidRPr="005E49EF" w:rsidRDefault="00285C61" w:rsidP="00AC4B47">
            <w:pPr>
              <w:jc w:val="center"/>
              <w:rPr>
                <w:rFonts w:cs="Arial"/>
                <w:b/>
                <w:sz w:val="18"/>
                <w:szCs w:val="18"/>
              </w:rPr>
            </w:pPr>
            <w:r w:rsidRPr="005E49EF">
              <w:rPr>
                <w:rFonts w:cs="Arial"/>
                <w:b/>
                <w:sz w:val="18"/>
                <w:szCs w:val="18"/>
              </w:rPr>
              <w:t>Exigencia asociada</w:t>
            </w:r>
          </w:p>
        </w:tc>
        <w:tc>
          <w:tcPr>
            <w:tcW w:w="69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782E007" w14:textId="77777777" w:rsidR="00285C61" w:rsidRPr="005E49EF" w:rsidRDefault="00285C61" w:rsidP="00AC4B47">
            <w:pPr>
              <w:jc w:val="center"/>
              <w:rPr>
                <w:rFonts w:cs="Arial"/>
                <w:b/>
                <w:sz w:val="18"/>
                <w:szCs w:val="18"/>
              </w:rPr>
            </w:pPr>
            <w:r w:rsidRPr="005E49EF">
              <w:rPr>
                <w:rFonts w:cs="Arial"/>
                <w:b/>
                <w:sz w:val="18"/>
                <w:szCs w:val="18"/>
              </w:rPr>
              <w:t>No conformidad</w:t>
            </w:r>
          </w:p>
        </w:tc>
        <w:tc>
          <w:tcPr>
            <w:tcW w:w="2761"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2D948EE" w14:textId="77777777" w:rsidR="00285C61" w:rsidRPr="00C006F0" w:rsidRDefault="00285C61" w:rsidP="00AC4B47">
            <w:pPr>
              <w:jc w:val="center"/>
              <w:rPr>
                <w:rFonts w:eastAsia="Calibri" w:cs="Calibri"/>
                <w:b/>
                <w:sz w:val="18"/>
                <w:szCs w:val="18"/>
                <w:lang w:eastAsia="es-ES"/>
              </w:rPr>
            </w:pPr>
            <w:r w:rsidRPr="00C006F0">
              <w:rPr>
                <w:rFonts w:eastAsia="Calibri" w:cs="Calibri"/>
                <w:b/>
                <w:sz w:val="18"/>
                <w:szCs w:val="18"/>
                <w:lang w:eastAsia="es-ES"/>
              </w:rPr>
              <w:t>Análisis DSC 1</w:t>
            </w:r>
          </w:p>
        </w:tc>
      </w:tr>
      <w:tr w:rsidR="00660104" w:rsidRPr="005E49EF" w14:paraId="1A883304" w14:textId="77777777" w:rsidTr="006619D2">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5DDB3A1A" w14:textId="5B2B7D5E" w:rsidR="00285C61" w:rsidRPr="005E49EF" w:rsidRDefault="00285C61" w:rsidP="00AC4B47">
            <w:pPr>
              <w:widowControl w:val="0"/>
              <w:overflowPunct w:val="0"/>
              <w:autoSpaceDE w:val="0"/>
              <w:autoSpaceDN w:val="0"/>
              <w:adjustRightInd w:val="0"/>
              <w:rPr>
                <w:rFonts w:cstheme="minorHAnsi"/>
                <w:iCs/>
                <w:sz w:val="18"/>
                <w:szCs w:val="18"/>
              </w:rPr>
            </w:pPr>
            <w:r>
              <w:rPr>
                <w:rFonts w:cstheme="minorHAnsi"/>
                <w:iCs/>
                <w:sz w:val="18"/>
                <w:szCs w:val="18"/>
              </w:rPr>
              <w:lastRenderedPageBreak/>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E50D27C" w14:textId="66DC30AA" w:rsidR="00285C61" w:rsidRPr="005E49EF" w:rsidRDefault="00030044" w:rsidP="00AC4B47">
            <w:pPr>
              <w:widowControl w:val="0"/>
              <w:overflowPunct w:val="0"/>
              <w:autoSpaceDE w:val="0"/>
              <w:autoSpaceDN w:val="0"/>
              <w:adjustRightInd w:val="0"/>
              <w:jc w:val="both"/>
              <w:rPr>
                <w:sz w:val="18"/>
                <w:szCs w:val="18"/>
              </w:rPr>
            </w:pPr>
            <w:r>
              <w:rPr>
                <w:iCs/>
                <w:sz w:val="18"/>
                <w:szCs w:val="18"/>
              </w:rPr>
              <w:t>Límite de emisión de MP para panaderías</w:t>
            </w:r>
            <w:bookmarkStart w:id="0" w:name="_GoBack"/>
            <w:bookmarkEnd w:id="0"/>
            <w:r w:rsidR="00285C61" w:rsidRPr="00285C61">
              <w:rPr>
                <w:iCs/>
                <w:sz w:val="18"/>
                <w:szCs w:val="18"/>
              </w:rPr>
              <w:t>.</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EAB84E3" w14:textId="48C9B79F" w:rsidR="00B63E5E" w:rsidRPr="00285C61" w:rsidRDefault="00B63E5E" w:rsidP="00B63E5E">
            <w:pPr>
              <w:jc w:val="both"/>
              <w:rPr>
                <w:b/>
                <w:bCs/>
                <w:sz w:val="18"/>
                <w:szCs w:val="18"/>
                <w:u w:val="single"/>
              </w:rPr>
            </w:pPr>
            <w:r>
              <w:rPr>
                <w:b/>
                <w:bCs/>
                <w:sz w:val="18"/>
                <w:szCs w:val="18"/>
                <w:u w:val="single"/>
              </w:rPr>
              <w:t>Artículo 25 del D.S. N° 15/2013 PPDA de Valle Central</w:t>
            </w:r>
          </w:p>
          <w:p w14:paraId="3786FD5F" w14:textId="77777777" w:rsidR="00B63E5E" w:rsidRDefault="00B63E5E" w:rsidP="00B63E5E">
            <w:pPr>
              <w:jc w:val="both"/>
              <w:rPr>
                <w:bCs/>
                <w:i/>
                <w:sz w:val="18"/>
                <w:szCs w:val="18"/>
              </w:rPr>
            </w:pPr>
            <w:r>
              <w:rPr>
                <w:bCs/>
                <w:i/>
                <w:sz w:val="18"/>
                <w:szCs w:val="18"/>
              </w:rPr>
              <w:t>“</w:t>
            </w:r>
            <w:r w:rsidRPr="00B63E5E">
              <w:rPr>
                <w:bCs/>
                <w:i/>
                <w:sz w:val="18"/>
                <w:szCs w:val="18"/>
              </w:rPr>
              <w:t>Las panaderías, sean fuente</w:t>
            </w:r>
            <w:r>
              <w:rPr>
                <w:bCs/>
                <w:i/>
                <w:sz w:val="18"/>
                <w:szCs w:val="18"/>
              </w:rPr>
              <w:t xml:space="preserve">s emisoras nuevas o existentes, </w:t>
            </w:r>
            <w:r w:rsidRPr="00B63E5E">
              <w:rPr>
                <w:bCs/>
                <w:i/>
                <w:sz w:val="18"/>
                <w:szCs w:val="18"/>
              </w:rPr>
              <w:t>deberán cumplir el límite de emisión para MP establecido en la siguiente tabla:</w:t>
            </w:r>
          </w:p>
          <w:p w14:paraId="26BD7395" w14:textId="77777777" w:rsidR="00B63E5E" w:rsidRDefault="00B63E5E" w:rsidP="00B63E5E">
            <w:pPr>
              <w:jc w:val="both"/>
              <w:rPr>
                <w:bCs/>
                <w:i/>
                <w:sz w:val="18"/>
                <w:szCs w:val="18"/>
              </w:rPr>
            </w:pPr>
          </w:p>
          <w:p w14:paraId="7E23B5FB" w14:textId="62F9DDC3" w:rsidR="00B63E5E" w:rsidRDefault="00B63E5E" w:rsidP="00B63E5E">
            <w:pPr>
              <w:jc w:val="center"/>
              <w:rPr>
                <w:bCs/>
                <w:i/>
                <w:sz w:val="18"/>
                <w:szCs w:val="18"/>
              </w:rPr>
            </w:pPr>
            <w:r>
              <w:rPr>
                <w:bCs/>
                <w:i/>
                <w:sz w:val="18"/>
                <w:szCs w:val="18"/>
              </w:rPr>
              <w:t>Tabla 11. Límites de emisión para panaderías</w:t>
            </w:r>
          </w:p>
          <w:tbl>
            <w:tblPr>
              <w:tblStyle w:val="Tablaconcuadrcula"/>
              <w:tblW w:w="0" w:type="auto"/>
              <w:tblLayout w:type="fixed"/>
              <w:tblLook w:val="04A0" w:firstRow="1" w:lastRow="0" w:firstColumn="1" w:lastColumn="0" w:noHBand="0" w:noVBand="1"/>
            </w:tblPr>
            <w:tblGrid>
              <w:gridCol w:w="1304"/>
              <w:gridCol w:w="1017"/>
            </w:tblGrid>
            <w:tr w:rsidR="00B63E5E" w14:paraId="7DD0A844" w14:textId="77777777" w:rsidTr="00B63E5E">
              <w:tc>
                <w:tcPr>
                  <w:tcW w:w="1304" w:type="dxa"/>
                </w:tcPr>
                <w:p w14:paraId="4C9D648E" w14:textId="25036018" w:rsidR="00B63E5E" w:rsidRDefault="00B63E5E" w:rsidP="00B63E5E">
                  <w:pPr>
                    <w:jc w:val="both"/>
                    <w:rPr>
                      <w:bCs/>
                      <w:i/>
                      <w:sz w:val="18"/>
                      <w:szCs w:val="18"/>
                    </w:rPr>
                  </w:pPr>
                  <w:r>
                    <w:rPr>
                      <w:bCs/>
                      <w:i/>
                      <w:sz w:val="18"/>
                      <w:szCs w:val="18"/>
                    </w:rPr>
                    <w:t>Contaminante</w:t>
                  </w:r>
                </w:p>
              </w:tc>
              <w:tc>
                <w:tcPr>
                  <w:tcW w:w="1017" w:type="dxa"/>
                </w:tcPr>
                <w:p w14:paraId="4D27756D" w14:textId="65109877" w:rsidR="00B63E5E" w:rsidRPr="00B63E5E" w:rsidRDefault="00B63E5E" w:rsidP="00B63E5E">
                  <w:pPr>
                    <w:jc w:val="both"/>
                    <w:rPr>
                      <w:bCs/>
                      <w:i/>
                      <w:sz w:val="18"/>
                      <w:szCs w:val="18"/>
                      <w:vertAlign w:val="superscript"/>
                    </w:rPr>
                  </w:pPr>
                  <w:r>
                    <w:rPr>
                      <w:bCs/>
                      <w:i/>
                      <w:sz w:val="18"/>
                      <w:szCs w:val="18"/>
                    </w:rPr>
                    <w:t>Límite de emisión mg/ Nm</w:t>
                  </w:r>
                  <w:r>
                    <w:rPr>
                      <w:bCs/>
                      <w:i/>
                      <w:sz w:val="18"/>
                      <w:szCs w:val="18"/>
                      <w:vertAlign w:val="superscript"/>
                    </w:rPr>
                    <w:t>3</w:t>
                  </w:r>
                </w:p>
              </w:tc>
            </w:tr>
            <w:tr w:rsidR="00B63E5E" w14:paraId="19ECE78F" w14:textId="77777777" w:rsidTr="00B63E5E">
              <w:tc>
                <w:tcPr>
                  <w:tcW w:w="1304" w:type="dxa"/>
                </w:tcPr>
                <w:p w14:paraId="48D43875" w14:textId="081A906F" w:rsidR="00B63E5E" w:rsidRDefault="00B63E5E" w:rsidP="00B63E5E">
                  <w:pPr>
                    <w:jc w:val="both"/>
                    <w:rPr>
                      <w:bCs/>
                      <w:i/>
                      <w:sz w:val="18"/>
                      <w:szCs w:val="18"/>
                    </w:rPr>
                  </w:pPr>
                  <w:r>
                    <w:rPr>
                      <w:bCs/>
                      <w:i/>
                      <w:sz w:val="18"/>
                      <w:szCs w:val="18"/>
                    </w:rPr>
                    <w:t>MP</w:t>
                  </w:r>
                </w:p>
              </w:tc>
              <w:tc>
                <w:tcPr>
                  <w:tcW w:w="1017" w:type="dxa"/>
                </w:tcPr>
                <w:p w14:paraId="1086AECF" w14:textId="48B5F8E7" w:rsidR="00B63E5E" w:rsidRDefault="00B63E5E" w:rsidP="00B63E5E">
                  <w:pPr>
                    <w:jc w:val="both"/>
                    <w:rPr>
                      <w:bCs/>
                      <w:i/>
                      <w:sz w:val="18"/>
                      <w:szCs w:val="18"/>
                    </w:rPr>
                  </w:pPr>
                  <w:r>
                    <w:rPr>
                      <w:bCs/>
                      <w:i/>
                      <w:sz w:val="18"/>
                      <w:szCs w:val="18"/>
                    </w:rPr>
                    <w:t>50</w:t>
                  </w:r>
                </w:p>
              </w:tc>
            </w:tr>
          </w:tbl>
          <w:p w14:paraId="0B77A501" w14:textId="6AACB561" w:rsidR="00285C61" w:rsidRPr="00B63E5E" w:rsidRDefault="00285C61" w:rsidP="00B63E5E">
            <w:pPr>
              <w:jc w:val="both"/>
              <w:rPr>
                <w:bCs/>
                <w:i/>
                <w:sz w:val="18"/>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0801DCD3" w14:textId="7CBCE018" w:rsidR="00285C61" w:rsidRPr="005E49EF" w:rsidRDefault="00A260CE" w:rsidP="00AC4B47">
            <w:pPr>
              <w:widowControl w:val="0"/>
              <w:overflowPunct w:val="0"/>
              <w:autoSpaceDE w:val="0"/>
              <w:autoSpaceDN w:val="0"/>
              <w:adjustRightInd w:val="0"/>
              <w:jc w:val="both"/>
              <w:rPr>
                <w:rFonts w:cstheme="minorHAnsi"/>
                <w:sz w:val="18"/>
                <w:szCs w:val="18"/>
              </w:rPr>
            </w:pPr>
            <w:r>
              <w:rPr>
                <w:rFonts w:cstheme="minorHAnsi"/>
                <w:sz w:val="18"/>
                <w:szCs w:val="18"/>
              </w:rPr>
              <w:t>Los antecedentes disponibles y los hallazgos encontrados no serían constitutivos de una eventual infracción.</w:t>
            </w:r>
          </w:p>
        </w:tc>
        <w:tc>
          <w:tcPr>
            <w:tcW w:w="2761" w:type="pct"/>
            <w:tcBorders>
              <w:top w:val="single" w:sz="4" w:space="0" w:color="auto"/>
              <w:left w:val="single" w:sz="4" w:space="0" w:color="auto"/>
              <w:right w:val="single" w:sz="4" w:space="0" w:color="auto"/>
            </w:tcBorders>
            <w:shd w:val="clear" w:color="auto" w:fill="auto"/>
          </w:tcPr>
          <w:p w14:paraId="4A814CBD" w14:textId="77777777" w:rsidR="00285C61" w:rsidRPr="005E49EF" w:rsidRDefault="00285C61" w:rsidP="00AC4B47">
            <w:pPr>
              <w:jc w:val="both"/>
              <w:rPr>
                <w:rFonts w:cs="Arial"/>
                <w:b/>
                <w:sz w:val="18"/>
                <w:szCs w:val="18"/>
              </w:rPr>
            </w:pPr>
            <w:r w:rsidRPr="005E49EF">
              <w:rPr>
                <w:rFonts w:cs="Arial"/>
                <w:b/>
                <w:sz w:val="18"/>
                <w:szCs w:val="18"/>
              </w:rPr>
              <w:t>Hechos</w:t>
            </w:r>
          </w:p>
          <w:p w14:paraId="3CD240A3" w14:textId="45EDECF0" w:rsidR="00285C61" w:rsidRPr="0051262C" w:rsidRDefault="00285C61" w:rsidP="00035440">
            <w:pPr>
              <w:pStyle w:val="Prrafodelista"/>
              <w:numPr>
                <w:ilvl w:val="0"/>
                <w:numId w:val="4"/>
              </w:numPr>
              <w:ind w:left="360"/>
              <w:jc w:val="both"/>
              <w:rPr>
                <w:rFonts w:cs="Arial"/>
                <w:sz w:val="18"/>
                <w:szCs w:val="18"/>
              </w:rPr>
            </w:pPr>
            <w:r w:rsidRPr="00285C61">
              <w:rPr>
                <w:rFonts w:cs="Arial"/>
                <w:sz w:val="18"/>
                <w:szCs w:val="18"/>
              </w:rPr>
              <w:t>Dur</w:t>
            </w:r>
            <w:r w:rsidR="00982B3A">
              <w:rPr>
                <w:rFonts w:cs="Arial"/>
                <w:sz w:val="18"/>
                <w:szCs w:val="18"/>
              </w:rPr>
              <w:t xml:space="preserve">ante la actividad de inspección de fecha 25 de mayo de 2018, </w:t>
            </w:r>
            <w:r w:rsidR="00982B3A" w:rsidRPr="00285C61">
              <w:rPr>
                <w:rFonts w:cs="Arial"/>
                <w:sz w:val="18"/>
                <w:szCs w:val="18"/>
              </w:rPr>
              <w:t>se constata</w:t>
            </w:r>
            <w:r w:rsidR="00982B3A">
              <w:rPr>
                <w:rFonts w:cs="Arial"/>
                <w:sz w:val="18"/>
                <w:szCs w:val="18"/>
              </w:rPr>
              <w:t xml:space="preserve"> que la panadería se encuentra operando y cuenta con 3 turnos de funcionamiento (mañana-tarde-noche) de 7 </w:t>
            </w:r>
            <w:proofErr w:type="spellStart"/>
            <w:r w:rsidR="00982B3A">
              <w:rPr>
                <w:rFonts w:cs="Arial"/>
                <w:sz w:val="18"/>
                <w:szCs w:val="18"/>
              </w:rPr>
              <w:t>hrs</w:t>
            </w:r>
            <w:proofErr w:type="spellEnd"/>
            <w:r w:rsidR="00982B3A">
              <w:rPr>
                <w:rFonts w:cs="Arial"/>
                <w:sz w:val="18"/>
                <w:szCs w:val="18"/>
              </w:rPr>
              <w:t>. aproximadamente</w:t>
            </w:r>
            <w:r w:rsidRPr="00285C61">
              <w:rPr>
                <w:rFonts w:cs="Arial"/>
                <w:sz w:val="18"/>
                <w:szCs w:val="18"/>
              </w:rPr>
              <w:t>.</w:t>
            </w:r>
          </w:p>
          <w:p w14:paraId="2ADFB22F" w14:textId="20E9E036" w:rsidR="00285C61" w:rsidRPr="0051262C" w:rsidRDefault="00982B3A" w:rsidP="00035440">
            <w:pPr>
              <w:pStyle w:val="Prrafodelista"/>
              <w:numPr>
                <w:ilvl w:val="0"/>
                <w:numId w:val="4"/>
              </w:numPr>
              <w:ind w:left="360"/>
              <w:jc w:val="both"/>
              <w:rPr>
                <w:rFonts w:cs="Arial"/>
                <w:bCs/>
                <w:sz w:val="18"/>
                <w:szCs w:val="18"/>
              </w:rPr>
            </w:pPr>
            <w:r>
              <w:rPr>
                <w:rFonts w:cs="Arial"/>
                <w:sz w:val="18"/>
                <w:szCs w:val="18"/>
              </w:rPr>
              <w:t>Se constató la existencia de 2 hornos de piso que funcionan a petróleo.</w:t>
            </w:r>
          </w:p>
          <w:p w14:paraId="69067F1C" w14:textId="4F7B48A3" w:rsidR="00285C61" w:rsidRPr="0051262C" w:rsidRDefault="00982B3A" w:rsidP="00035440">
            <w:pPr>
              <w:pStyle w:val="Prrafodelista"/>
              <w:numPr>
                <w:ilvl w:val="0"/>
                <w:numId w:val="4"/>
              </w:numPr>
              <w:ind w:left="360"/>
              <w:jc w:val="both"/>
              <w:rPr>
                <w:rFonts w:cs="Arial"/>
                <w:sz w:val="18"/>
                <w:szCs w:val="18"/>
              </w:rPr>
            </w:pPr>
            <w:r>
              <w:rPr>
                <w:rFonts w:cs="Arial"/>
                <w:bCs/>
                <w:sz w:val="18"/>
                <w:szCs w:val="18"/>
              </w:rPr>
              <w:t>Al momento de la fiscalización el encargado desconoce si se he realizado la medición anual discreta.</w:t>
            </w:r>
          </w:p>
          <w:p w14:paraId="48E047A9" w14:textId="77777777" w:rsidR="00285C61" w:rsidRPr="005E49EF" w:rsidRDefault="00285C61" w:rsidP="00AC4B47">
            <w:pPr>
              <w:jc w:val="both"/>
              <w:rPr>
                <w:rFonts w:cs="Arial"/>
                <w:sz w:val="18"/>
                <w:szCs w:val="18"/>
              </w:rPr>
            </w:pPr>
          </w:p>
          <w:p w14:paraId="5F2A0CFD" w14:textId="77777777" w:rsidR="00285C61" w:rsidRPr="005E49EF" w:rsidRDefault="00285C61" w:rsidP="00AC4B47">
            <w:pPr>
              <w:jc w:val="both"/>
              <w:rPr>
                <w:rFonts w:cs="Arial"/>
                <w:b/>
                <w:sz w:val="18"/>
                <w:szCs w:val="18"/>
              </w:rPr>
            </w:pPr>
            <w:r w:rsidRPr="00660104">
              <w:rPr>
                <w:rFonts w:cs="Arial"/>
                <w:b/>
                <w:sz w:val="18"/>
                <w:szCs w:val="18"/>
              </w:rPr>
              <w:t>Observaciones</w:t>
            </w:r>
          </w:p>
          <w:p w14:paraId="105620EB" w14:textId="1A275E37" w:rsidR="00A260CE" w:rsidRPr="00F92865" w:rsidRDefault="00291FF1" w:rsidP="00035440">
            <w:pPr>
              <w:pStyle w:val="Prrafodelista"/>
              <w:numPr>
                <w:ilvl w:val="0"/>
                <w:numId w:val="5"/>
              </w:numPr>
              <w:ind w:left="360"/>
              <w:jc w:val="both"/>
              <w:rPr>
                <w:rFonts w:cs="Arial"/>
                <w:sz w:val="18"/>
                <w:szCs w:val="18"/>
              </w:rPr>
            </w:pPr>
            <w:r>
              <w:rPr>
                <w:rFonts w:cs="Arial"/>
                <w:sz w:val="18"/>
                <w:szCs w:val="18"/>
              </w:rPr>
              <w:t xml:space="preserve">Respecto de los hornos en funcionamiento y las mediciones </w:t>
            </w:r>
            <w:proofErr w:type="spellStart"/>
            <w:r>
              <w:rPr>
                <w:rFonts w:cs="Arial"/>
                <w:sz w:val="18"/>
                <w:szCs w:val="18"/>
              </w:rPr>
              <w:t>isocinéticas</w:t>
            </w:r>
            <w:proofErr w:type="spellEnd"/>
            <w:r>
              <w:rPr>
                <w:rFonts w:cs="Arial"/>
                <w:sz w:val="18"/>
                <w:szCs w:val="18"/>
              </w:rPr>
              <w:t xml:space="preserve"> que deben realizarse, es posible concluir que no se han realizado toda vez que el funcionario a cargo desconoce dicho antecedente.</w:t>
            </w:r>
          </w:p>
          <w:p w14:paraId="6842C600" w14:textId="15325BB3" w:rsidR="00660104" w:rsidRDefault="00024F57" w:rsidP="00024F57">
            <w:pPr>
              <w:tabs>
                <w:tab w:val="left" w:pos="1290"/>
              </w:tabs>
              <w:jc w:val="both"/>
              <w:rPr>
                <w:rFonts w:cs="Arial"/>
                <w:sz w:val="18"/>
                <w:szCs w:val="18"/>
              </w:rPr>
            </w:pPr>
            <w:r>
              <w:rPr>
                <w:rFonts w:cs="Arial"/>
                <w:sz w:val="18"/>
                <w:szCs w:val="18"/>
              </w:rPr>
              <w:tab/>
            </w:r>
          </w:p>
          <w:p w14:paraId="3565B973" w14:textId="52142850" w:rsidR="00285C61" w:rsidRPr="009C4445" w:rsidRDefault="009C4445" w:rsidP="009C4445">
            <w:pPr>
              <w:jc w:val="both"/>
              <w:rPr>
                <w:rFonts w:cs="Arial"/>
                <w:sz w:val="18"/>
                <w:szCs w:val="18"/>
              </w:rPr>
            </w:pPr>
            <w:r w:rsidRPr="00A260CE">
              <w:rPr>
                <w:rFonts w:cs="Arial"/>
                <w:b/>
                <w:sz w:val="18"/>
                <w:szCs w:val="18"/>
              </w:rPr>
              <w:t>Conclusiones</w:t>
            </w:r>
            <w:r>
              <w:rPr>
                <w:rFonts w:cs="Arial"/>
                <w:sz w:val="18"/>
                <w:szCs w:val="18"/>
              </w:rPr>
              <w:t xml:space="preserve">: </w:t>
            </w:r>
            <w:r w:rsidR="00960F2E">
              <w:rPr>
                <w:rFonts w:cs="Arial"/>
                <w:sz w:val="18"/>
                <w:szCs w:val="18"/>
              </w:rPr>
              <w:t>El hallazgo constatado</w:t>
            </w:r>
            <w:r w:rsidR="00960F2E" w:rsidRPr="009C4445">
              <w:rPr>
                <w:rFonts w:cs="Arial"/>
                <w:sz w:val="18"/>
                <w:szCs w:val="18"/>
              </w:rPr>
              <w:t xml:space="preserve"> en el acta</w:t>
            </w:r>
            <w:r w:rsidR="00960F2E">
              <w:rPr>
                <w:rFonts w:cs="Arial"/>
                <w:sz w:val="18"/>
                <w:szCs w:val="18"/>
              </w:rPr>
              <w:t xml:space="preserve"> referido al primer grupo electrógeno tiene </w:t>
            </w:r>
            <w:r w:rsidR="00960F2E" w:rsidRPr="009C4445">
              <w:rPr>
                <w:rFonts w:cs="Arial"/>
                <w:sz w:val="18"/>
                <w:szCs w:val="18"/>
              </w:rPr>
              <w:t>méri</w:t>
            </w:r>
            <w:r w:rsidR="00960F2E">
              <w:rPr>
                <w:rFonts w:cs="Arial"/>
                <w:sz w:val="18"/>
                <w:szCs w:val="18"/>
              </w:rPr>
              <w:t>to suficiente para ser estimado</w:t>
            </w:r>
            <w:r w:rsidR="00960F2E" w:rsidRPr="009C4445">
              <w:rPr>
                <w:rFonts w:cs="Arial"/>
                <w:sz w:val="18"/>
                <w:szCs w:val="18"/>
              </w:rPr>
              <w:t xml:space="preserve"> como una infracci</w:t>
            </w:r>
            <w:r w:rsidR="00960F2E">
              <w:rPr>
                <w:rFonts w:cs="Arial"/>
                <w:sz w:val="18"/>
                <w:szCs w:val="18"/>
              </w:rPr>
              <w:t xml:space="preserve">ón al </w:t>
            </w:r>
            <w:r w:rsidR="00960F2E" w:rsidRPr="00B63E5E">
              <w:rPr>
                <w:rFonts w:cs="Arial"/>
                <w:bCs/>
                <w:sz w:val="18"/>
                <w:szCs w:val="18"/>
              </w:rPr>
              <w:t>D.S. N° 15/2013</w:t>
            </w:r>
            <w:r w:rsidR="00960F2E">
              <w:rPr>
                <w:rFonts w:cs="Arial"/>
                <w:sz w:val="18"/>
                <w:szCs w:val="18"/>
              </w:rPr>
              <w:t>.</w:t>
            </w:r>
          </w:p>
        </w:tc>
      </w:tr>
    </w:tbl>
    <w:p w14:paraId="69EAB48B" w14:textId="518F9BC4" w:rsidR="00CA5FFB" w:rsidRPr="00CA5FFB" w:rsidRDefault="00CA5FFB" w:rsidP="005E3CE4">
      <w:pPr>
        <w:rPr>
          <w:b/>
        </w:rPr>
      </w:pPr>
    </w:p>
    <w:sectPr w:rsidR="00CA5FFB" w:rsidRPr="00CA5FFB" w:rsidSect="00F44A28">
      <w:foot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CC793" w14:textId="77777777" w:rsidR="009C12E3" w:rsidRDefault="009C12E3" w:rsidP="00F44A28">
      <w:pPr>
        <w:spacing w:after="0" w:line="240" w:lineRule="auto"/>
      </w:pPr>
      <w:r>
        <w:separator/>
      </w:r>
    </w:p>
  </w:endnote>
  <w:endnote w:type="continuationSeparator" w:id="0">
    <w:p w14:paraId="5FF396B3" w14:textId="77777777" w:rsidR="009C12E3" w:rsidRDefault="009C12E3" w:rsidP="00F4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18455"/>
      <w:docPartObj>
        <w:docPartGallery w:val="Page Numbers (Bottom of Page)"/>
        <w:docPartUnique/>
      </w:docPartObj>
    </w:sdtPr>
    <w:sdtEndPr/>
    <w:sdtContent>
      <w:p w14:paraId="19B5B2C6" w14:textId="77777777" w:rsidR="00D6169B" w:rsidRDefault="00D6169B">
        <w:pPr>
          <w:pStyle w:val="Piedepgina"/>
          <w:jc w:val="center"/>
        </w:pPr>
        <w:r>
          <w:fldChar w:fldCharType="begin"/>
        </w:r>
        <w:r>
          <w:instrText>PAGE   \* MERGEFORMAT</w:instrText>
        </w:r>
        <w:r>
          <w:fldChar w:fldCharType="separate"/>
        </w:r>
        <w:r w:rsidR="00030044" w:rsidRPr="00030044">
          <w:rPr>
            <w:noProof/>
            <w:lang w:val="es-ES"/>
          </w:rPr>
          <w:t>2</w:t>
        </w:r>
        <w:r>
          <w:fldChar w:fldCharType="end"/>
        </w:r>
      </w:p>
    </w:sdtContent>
  </w:sdt>
  <w:p w14:paraId="6A981C3B" w14:textId="77777777" w:rsidR="00D6169B" w:rsidRDefault="00D616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E348" w14:textId="77777777" w:rsidR="009C12E3" w:rsidRDefault="009C12E3" w:rsidP="00F44A28">
      <w:pPr>
        <w:spacing w:after="0" w:line="240" w:lineRule="auto"/>
      </w:pPr>
      <w:r>
        <w:separator/>
      </w:r>
    </w:p>
  </w:footnote>
  <w:footnote w:type="continuationSeparator" w:id="0">
    <w:p w14:paraId="5ACD87D0" w14:textId="77777777" w:rsidR="009C12E3" w:rsidRDefault="009C12E3" w:rsidP="00F44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0A0"/>
    <w:multiLevelType w:val="hybridMultilevel"/>
    <w:tmpl w:val="F21CA4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6A34F47"/>
    <w:multiLevelType w:val="hybridMultilevel"/>
    <w:tmpl w:val="3FF898A4"/>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C955943"/>
    <w:multiLevelType w:val="hybridMultilevel"/>
    <w:tmpl w:val="5A7E026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10E7359"/>
    <w:multiLevelType w:val="hybridMultilevel"/>
    <w:tmpl w:val="C03A0F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EEC001B"/>
    <w:multiLevelType w:val="hybridMultilevel"/>
    <w:tmpl w:val="8E20E50A"/>
    <w:lvl w:ilvl="0" w:tplc="402A16FE">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15A08B4"/>
    <w:multiLevelType w:val="hybridMultilevel"/>
    <w:tmpl w:val="44526DB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3CB9415A"/>
    <w:multiLevelType w:val="hybridMultilevel"/>
    <w:tmpl w:val="CEDE99A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3D7567D3"/>
    <w:multiLevelType w:val="hybridMultilevel"/>
    <w:tmpl w:val="FBEE8E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2B00C6C"/>
    <w:multiLevelType w:val="hybridMultilevel"/>
    <w:tmpl w:val="884E8028"/>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54E104A9"/>
    <w:multiLevelType w:val="hybridMultilevel"/>
    <w:tmpl w:val="060E8960"/>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5B0A5488"/>
    <w:multiLevelType w:val="hybridMultilevel"/>
    <w:tmpl w:val="4C105320"/>
    <w:lvl w:ilvl="0" w:tplc="340A000F">
      <w:start w:val="1"/>
      <w:numFmt w:val="decimal"/>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6EFE4AF1"/>
    <w:multiLevelType w:val="hybridMultilevel"/>
    <w:tmpl w:val="80641F2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70524223"/>
    <w:multiLevelType w:val="hybridMultilevel"/>
    <w:tmpl w:val="8A987494"/>
    <w:lvl w:ilvl="0" w:tplc="A3B6F49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43B50E9"/>
    <w:multiLevelType w:val="hybridMultilevel"/>
    <w:tmpl w:val="98E4D7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D1C6284"/>
    <w:multiLevelType w:val="hybridMultilevel"/>
    <w:tmpl w:val="BE0EC47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3"/>
  </w:num>
  <w:num w:numId="2">
    <w:abstractNumId w:val="14"/>
  </w:num>
  <w:num w:numId="3">
    <w:abstractNumId w:val="4"/>
  </w:num>
  <w:num w:numId="4">
    <w:abstractNumId w:val="13"/>
  </w:num>
  <w:num w:numId="5">
    <w:abstractNumId w:val="0"/>
  </w:num>
  <w:num w:numId="6">
    <w:abstractNumId w:val="2"/>
  </w:num>
  <w:num w:numId="7">
    <w:abstractNumId w:val="6"/>
  </w:num>
  <w:num w:numId="8">
    <w:abstractNumId w:val="8"/>
  </w:num>
  <w:num w:numId="9">
    <w:abstractNumId w:val="5"/>
  </w:num>
  <w:num w:numId="10">
    <w:abstractNumId w:val="10"/>
  </w:num>
  <w:num w:numId="11">
    <w:abstractNumId w:val="1"/>
  </w:num>
  <w:num w:numId="12">
    <w:abstractNumId w:val="11"/>
  </w:num>
  <w:num w:numId="13">
    <w:abstractNumId w:val="7"/>
  </w:num>
  <w:num w:numId="14">
    <w:abstractNumId w:val="12"/>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28"/>
    <w:rsid w:val="0000204D"/>
    <w:rsid w:val="000037F4"/>
    <w:rsid w:val="00011C8A"/>
    <w:rsid w:val="00011E77"/>
    <w:rsid w:val="00012B05"/>
    <w:rsid w:val="000134F2"/>
    <w:rsid w:val="000174AD"/>
    <w:rsid w:val="000231D3"/>
    <w:rsid w:val="00024F57"/>
    <w:rsid w:val="00025484"/>
    <w:rsid w:val="0002782F"/>
    <w:rsid w:val="00030044"/>
    <w:rsid w:val="00035440"/>
    <w:rsid w:val="00036400"/>
    <w:rsid w:val="00037B17"/>
    <w:rsid w:val="000414B3"/>
    <w:rsid w:val="0004659F"/>
    <w:rsid w:val="00046705"/>
    <w:rsid w:val="000468AD"/>
    <w:rsid w:val="0004702D"/>
    <w:rsid w:val="000507FD"/>
    <w:rsid w:val="00055357"/>
    <w:rsid w:val="00055C25"/>
    <w:rsid w:val="00060B4A"/>
    <w:rsid w:val="00061574"/>
    <w:rsid w:val="00064B99"/>
    <w:rsid w:val="00065C9C"/>
    <w:rsid w:val="0006655B"/>
    <w:rsid w:val="00066A48"/>
    <w:rsid w:val="00067EE3"/>
    <w:rsid w:val="00071408"/>
    <w:rsid w:val="00074B95"/>
    <w:rsid w:val="00076D88"/>
    <w:rsid w:val="00080664"/>
    <w:rsid w:val="00082BB1"/>
    <w:rsid w:val="0008315E"/>
    <w:rsid w:val="00085971"/>
    <w:rsid w:val="0008613A"/>
    <w:rsid w:val="000862E9"/>
    <w:rsid w:val="00086CB2"/>
    <w:rsid w:val="000902CF"/>
    <w:rsid w:val="00090404"/>
    <w:rsid w:val="00093B56"/>
    <w:rsid w:val="00094A86"/>
    <w:rsid w:val="00094EF3"/>
    <w:rsid w:val="00096F23"/>
    <w:rsid w:val="00097441"/>
    <w:rsid w:val="000A0FE7"/>
    <w:rsid w:val="000A5D3F"/>
    <w:rsid w:val="000A6F09"/>
    <w:rsid w:val="000B0ED9"/>
    <w:rsid w:val="000B55E0"/>
    <w:rsid w:val="000B57D9"/>
    <w:rsid w:val="000C2F5D"/>
    <w:rsid w:val="000D17A0"/>
    <w:rsid w:val="000D2AAD"/>
    <w:rsid w:val="000D4B09"/>
    <w:rsid w:val="000D62C7"/>
    <w:rsid w:val="000D6607"/>
    <w:rsid w:val="000D7B73"/>
    <w:rsid w:val="000E2602"/>
    <w:rsid w:val="000E3CE3"/>
    <w:rsid w:val="000E5625"/>
    <w:rsid w:val="000F2D8E"/>
    <w:rsid w:val="000F34D0"/>
    <w:rsid w:val="000F61F6"/>
    <w:rsid w:val="000F64F6"/>
    <w:rsid w:val="000F6B78"/>
    <w:rsid w:val="000F7A8D"/>
    <w:rsid w:val="0010067E"/>
    <w:rsid w:val="00100F33"/>
    <w:rsid w:val="00101918"/>
    <w:rsid w:val="00101C38"/>
    <w:rsid w:val="001031D9"/>
    <w:rsid w:val="001032D0"/>
    <w:rsid w:val="00104B6C"/>
    <w:rsid w:val="00105D1E"/>
    <w:rsid w:val="001064A9"/>
    <w:rsid w:val="00107F54"/>
    <w:rsid w:val="00110FB9"/>
    <w:rsid w:val="00111A86"/>
    <w:rsid w:val="00112C9B"/>
    <w:rsid w:val="0011307F"/>
    <w:rsid w:val="00117AE2"/>
    <w:rsid w:val="001204A7"/>
    <w:rsid w:val="0012260B"/>
    <w:rsid w:val="001244B1"/>
    <w:rsid w:val="00124DEB"/>
    <w:rsid w:val="0012754E"/>
    <w:rsid w:val="00127CAC"/>
    <w:rsid w:val="00131177"/>
    <w:rsid w:val="00134DAF"/>
    <w:rsid w:val="00134E01"/>
    <w:rsid w:val="001401B1"/>
    <w:rsid w:val="00143FE1"/>
    <w:rsid w:val="00146221"/>
    <w:rsid w:val="0014751B"/>
    <w:rsid w:val="00150FB5"/>
    <w:rsid w:val="0015785B"/>
    <w:rsid w:val="00160D60"/>
    <w:rsid w:val="00160F00"/>
    <w:rsid w:val="00161178"/>
    <w:rsid w:val="0016674C"/>
    <w:rsid w:val="001722B7"/>
    <w:rsid w:val="001726D3"/>
    <w:rsid w:val="0017382F"/>
    <w:rsid w:val="00175333"/>
    <w:rsid w:val="00181C9E"/>
    <w:rsid w:val="00190DF4"/>
    <w:rsid w:val="001A1BF0"/>
    <w:rsid w:val="001A53A6"/>
    <w:rsid w:val="001B2603"/>
    <w:rsid w:val="001B3C5D"/>
    <w:rsid w:val="001B431F"/>
    <w:rsid w:val="001B5670"/>
    <w:rsid w:val="001B5974"/>
    <w:rsid w:val="001B5AD6"/>
    <w:rsid w:val="001C3893"/>
    <w:rsid w:val="001C46BA"/>
    <w:rsid w:val="001C6363"/>
    <w:rsid w:val="001C64CB"/>
    <w:rsid w:val="001C6DF2"/>
    <w:rsid w:val="001C6EE1"/>
    <w:rsid w:val="001C7A0C"/>
    <w:rsid w:val="001D13BA"/>
    <w:rsid w:val="001D4CBD"/>
    <w:rsid w:val="001D54CC"/>
    <w:rsid w:val="001E1AB0"/>
    <w:rsid w:val="001E4CD2"/>
    <w:rsid w:val="001F1E5C"/>
    <w:rsid w:val="001F49A2"/>
    <w:rsid w:val="001F6BD7"/>
    <w:rsid w:val="001F6C0B"/>
    <w:rsid w:val="002008A1"/>
    <w:rsid w:val="002038FF"/>
    <w:rsid w:val="00205669"/>
    <w:rsid w:val="00205B62"/>
    <w:rsid w:val="002062CD"/>
    <w:rsid w:val="002125CC"/>
    <w:rsid w:val="00215315"/>
    <w:rsid w:val="00216043"/>
    <w:rsid w:val="0021718C"/>
    <w:rsid w:val="0022019C"/>
    <w:rsid w:val="00222D17"/>
    <w:rsid w:val="00223501"/>
    <w:rsid w:val="00227ABF"/>
    <w:rsid w:val="002306DC"/>
    <w:rsid w:val="00231C67"/>
    <w:rsid w:val="00242910"/>
    <w:rsid w:val="0024315B"/>
    <w:rsid w:val="00244807"/>
    <w:rsid w:val="00246EBD"/>
    <w:rsid w:val="00246FDA"/>
    <w:rsid w:val="0024723F"/>
    <w:rsid w:val="00250332"/>
    <w:rsid w:val="002507E5"/>
    <w:rsid w:val="0025086E"/>
    <w:rsid w:val="002509B3"/>
    <w:rsid w:val="002517EF"/>
    <w:rsid w:val="00260EC4"/>
    <w:rsid w:val="0026483D"/>
    <w:rsid w:val="0026484D"/>
    <w:rsid w:val="00266124"/>
    <w:rsid w:val="0026715F"/>
    <w:rsid w:val="002720FE"/>
    <w:rsid w:val="00274EA5"/>
    <w:rsid w:val="00275341"/>
    <w:rsid w:val="00275695"/>
    <w:rsid w:val="00275995"/>
    <w:rsid w:val="00276C2B"/>
    <w:rsid w:val="00280882"/>
    <w:rsid w:val="00281A0C"/>
    <w:rsid w:val="00285C61"/>
    <w:rsid w:val="002863E5"/>
    <w:rsid w:val="00286652"/>
    <w:rsid w:val="002873B8"/>
    <w:rsid w:val="00290C04"/>
    <w:rsid w:val="00291FF1"/>
    <w:rsid w:val="002A191F"/>
    <w:rsid w:val="002A41C8"/>
    <w:rsid w:val="002B0F58"/>
    <w:rsid w:val="002B7E9A"/>
    <w:rsid w:val="002C1420"/>
    <w:rsid w:val="002C2BDE"/>
    <w:rsid w:val="002C2FC4"/>
    <w:rsid w:val="002C4EB5"/>
    <w:rsid w:val="002C66AF"/>
    <w:rsid w:val="002D2311"/>
    <w:rsid w:val="002D2346"/>
    <w:rsid w:val="002D6C5D"/>
    <w:rsid w:val="002E0434"/>
    <w:rsid w:val="002E1883"/>
    <w:rsid w:val="002E3E7B"/>
    <w:rsid w:val="002E41D8"/>
    <w:rsid w:val="002E4914"/>
    <w:rsid w:val="002E56D0"/>
    <w:rsid w:val="002E5837"/>
    <w:rsid w:val="002E5AFE"/>
    <w:rsid w:val="002E6F6B"/>
    <w:rsid w:val="002E71F7"/>
    <w:rsid w:val="002F0488"/>
    <w:rsid w:val="002F214D"/>
    <w:rsid w:val="002F3EDE"/>
    <w:rsid w:val="002F5D32"/>
    <w:rsid w:val="002F7AD6"/>
    <w:rsid w:val="003020BE"/>
    <w:rsid w:val="00302B88"/>
    <w:rsid w:val="00303B1B"/>
    <w:rsid w:val="00303B42"/>
    <w:rsid w:val="003112F4"/>
    <w:rsid w:val="00312CDA"/>
    <w:rsid w:val="00312DD7"/>
    <w:rsid w:val="0031374D"/>
    <w:rsid w:val="003161A2"/>
    <w:rsid w:val="00320655"/>
    <w:rsid w:val="00321BB0"/>
    <w:rsid w:val="0032516B"/>
    <w:rsid w:val="00334141"/>
    <w:rsid w:val="003342A4"/>
    <w:rsid w:val="00335EF7"/>
    <w:rsid w:val="00337DE7"/>
    <w:rsid w:val="003412F4"/>
    <w:rsid w:val="00344EF6"/>
    <w:rsid w:val="003455B3"/>
    <w:rsid w:val="00350A59"/>
    <w:rsid w:val="00351C4B"/>
    <w:rsid w:val="00352930"/>
    <w:rsid w:val="00357D44"/>
    <w:rsid w:val="00357F9F"/>
    <w:rsid w:val="003607C0"/>
    <w:rsid w:val="00362989"/>
    <w:rsid w:val="00365510"/>
    <w:rsid w:val="003666AA"/>
    <w:rsid w:val="003674C1"/>
    <w:rsid w:val="00377764"/>
    <w:rsid w:val="00380556"/>
    <w:rsid w:val="00386286"/>
    <w:rsid w:val="00390DB9"/>
    <w:rsid w:val="00392454"/>
    <w:rsid w:val="003945F6"/>
    <w:rsid w:val="00395627"/>
    <w:rsid w:val="00397BEB"/>
    <w:rsid w:val="003A2AEC"/>
    <w:rsid w:val="003A2D6D"/>
    <w:rsid w:val="003A3EB7"/>
    <w:rsid w:val="003A6CCB"/>
    <w:rsid w:val="003A7EAE"/>
    <w:rsid w:val="003B10E5"/>
    <w:rsid w:val="003B5C7B"/>
    <w:rsid w:val="003B5EF1"/>
    <w:rsid w:val="003B7B95"/>
    <w:rsid w:val="003C0706"/>
    <w:rsid w:val="003C1A1B"/>
    <w:rsid w:val="003D0B31"/>
    <w:rsid w:val="003D6F0B"/>
    <w:rsid w:val="003E15F3"/>
    <w:rsid w:val="003E378B"/>
    <w:rsid w:val="003E6828"/>
    <w:rsid w:val="003E7E0C"/>
    <w:rsid w:val="003F187B"/>
    <w:rsid w:val="003F7180"/>
    <w:rsid w:val="00400BA5"/>
    <w:rsid w:val="00400BE1"/>
    <w:rsid w:val="004029DD"/>
    <w:rsid w:val="00402EDC"/>
    <w:rsid w:val="004061C1"/>
    <w:rsid w:val="004116AE"/>
    <w:rsid w:val="00414A42"/>
    <w:rsid w:val="004154F0"/>
    <w:rsid w:val="00416C89"/>
    <w:rsid w:val="00417510"/>
    <w:rsid w:val="00420E05"/>
    <w:rsid w:val="004276F8"/>
    <w:rsid w:val="00427FB8"/>
    <w:rsid w:val="00430E89"/>
    <w:rsid w:val="00433295"/>
    <w:rsid w:val="00433C05"/>
    <w:rsid w:val="00443CEC"/>
    <w:rsid w:val="00451472"/>
    <w:rsid w:val="00453D7A"/>
    <w:rsid w:val="00463C1F"/>
    <w:rsid w:val="004657F2"/>
    <w:rsid w:val="00467AC3"/>
    <w:rsid w:val="0047094F"/>
    <w:rsid w:val="00474434"/>
    <w:rsid w:val="00481297"/>
    <w:rsid w:val="00482EE3"/>
    <w:rsid w:val="00484556"/>
    <w:rsid w:val="0048724D"/>
    <w:rsid w:val="0049452F"/>
    <w:rsid w:val="0049750C"/>
    <w:rsid w:val="004A5113"/>
    <w:rsid w:val="004A5743"/>
    <w:rsid w:val="004A5F70"/>
    <w:rsid w:val="004B4274"/>
    <w:rsid w:val="004B71CA"/>
    <w:rsid w:val="004C4F83"/>
    <w:rsid w:val="004C5402"/>
    <w:rsid w:val="004C601F"/>
    <w:rsid w:val="004D0F16"/>
    <w:rsid w:val="004E19C3"/>
    <w:rsid w:val="004E334A"/>
    <w:rsid w:val="004E70C9"/>
    <w:rsid w:val="004F2AB6"/>
    <w:rsid w:val="004F6365"/>
    <w:rsid w:val="004F6926"/>
    <w:rsid w:val="00502D28"/>
    <w:rsid w:val="005038FF"/>
    <w:rsid w:val="00504211"/>
    <w:rsid w:val="00506A16"/>
    <w:rsid w:val="00510AAA"/>
    <w:rsid w:val="0051262C"/>
    <w:rsid w:val="005131FA"/>
    <w:rsid w:val="00515E26"/>
    <w:rsid w:val="00520028"/>
    <w:rsid w:val="00520E14"/>
    <w:rsid w:val="00523314"/>
    <w:rsid w:val="0052468B"/>
    <w:rsid w:val="0052571C"/>
    <w:rsid w:val="005278C3"/>
    <w:rsid w:val="005305B2"/>
    <w:rsid w:val="00530B5F"/>
    <w:rsid w:val="00531644"/>
    <w:rsid w:val="00532E54"/>
    <w:rsid w:val="00535B73"/>
    <w:rsid w:val="00536485"/>
    <w:rsid w:val="00536D15"/>
    <w:rsid w:val="0054164A"/>
    <w:rsid w:val="005466DC"/>
    <w:rsid w:val="005515AD"/>
    <w:rsid w:val="00553F3D"/>
    <w:rsid w:val="00554F9A"/>
    <w:rsid w:val="00561AAF"/>
    <w:rsid w:val="005633C5"/>
    <w:rsid w:val="00565482"/>
    <w:rsid w:val="00566091"/>
    <w:rsid w:val="00567A78"/>
    <w:rsid w:val="00571B69"/>
    <w:rsid w:val="00574633"/>
    <w:rsid w:val="00580A10"/>
    <w:rsid w:val="0058375D"/>
    <w:rsid w:val="0058379D"/>
    <w:rsid w:val="00593600"/>
    <w:rsid w:val="00594226"/>
    <w:rsid w:val="005A18BD"/>
    <w:rsid w:val="005A3DF3"/>
    <w:rsid w:val="005A659B"/>
    <w:rsid w:val="005B2539"/>
    <w:rsid w:val="005B2669"/>
    <w:rsid w:val="005B3CEC"/>
    <w:rsid w:val="005B412D"/>
    <w:rsid w:val="005B6AD2"/>
    <w:rsid w:val="005C0027"/>
    <w:rsid w:val="005C032D"/>
    <w:rsid w:val="005C1288"/>
    <w:rsid w:val="005C30F8"/>
    <w:rsid w:val="005C7926"/>
    <w:rsid w:val="005D130D"/>
    <w:rsid w:val="005D46E5"/>
    <w:rsid w:val="005E19D9"/>
    <w:rsid w:val="005E2052"/>
    <w:rsid w:val="005E3CE4"/>
    <w:rsid w:val="005E49EF"/>
    <w:rsid w:val="005F1DE3"/>
    <w:rsid w:val="005F5D15"/>
    <w:rsid w:val="006008BA"/>
    <w:rsid w:val="0060127F"/>
    <w:rsid w:val="00607DF2"/>
    <w:rsid w:val="00612ECB"/>
    <w:rsid w:val="00614F76"/>
    <w:rsid w:val="006156F8"/>
    <w:rsid w:val="006206ED"/>
    <w:rsid w:val="006250CA"/>
    <w:rsid w:val="00626117"/>
    <w:rsid w:val="00635BEE"/>
    <w:rsid w:val="00636577"/>
    <w:rsid w:val="00640458"/>
    <w:rsid w:val="00644571"/>
    <w:rsid w:val="00651879"/>
    <w:rsid w:val="006564F0"/>
    <w:rsid w:val="00657D96"/>
    <w:rsid w:val="00660104"/>
    <w:rsid w:val="006619D2"/>
    <w:rsid w:val="006648B4"/>
    <w:rsid w:val="00666A92"/>
    <w:rsid w:val="006676B4"/>
    <w:rsid w:val="00667A85"/>
    <w:rsid w:val="006769EF"/>
    <w:rsid w:val="00680700"/>
    <w:rsid w:val="00682363"/>
    <w:rsid w:val="0068247E"/>
    <w:rsid w:val="006828B5"/>
    <w:rsid w:val="0068598E"/>
    <w:rsid w:val="00685D8D"/>
    <w:rsid w:val="006A2F45"/>
    <w:rsid w:val="006A3F67"/>
    <w:rsid w:val="006A5342"/>
    <w:rsid w:val="006A723C"/>
    <w:rsid w:val="006A749C"/>
    <w:rsid w:val="006B11D6"/>
    <w:rsid w:val="006B63AD"/>
    <w:rsid w:val="006C10C2"/>
    <w:rsid w:val="006C3B2C"/>
    <w:rsid w:val="006C500C"/>
    <w:rsid w:val="006C6621"/>
    <w:rsid w:val="006D0820"/>
    <w:rsid w:val="006D41C2"/>
    <w:rsid w:val="006D67BB"/>
    <w:rsid w:val="006D6DF4"/>
    <w:rsid w:val="006E1DA5"/>
    <w:rsid w:val="006E259F"/>
    <w:rsid w:val="006E5160"/>
    <w:rsid w:val="006E5A16"/>
    <w:rsid w:val="006E7AAE"/>
    <w:rsid w:val="006F2930"/>
    <w:rsid w:val="00704FB5"/>
    <w:rsid w:val="00706407"/>
    <w:rsid w:val="007079CF"/>
    <w:rsid w:val="00711D00"/>
    <w:rsid w:val="007126BB"/>
    <w:rsid w:val="00713187"/>
    <w:rsid w:val="0071540B"/>
    <w:rsid w:val="00716C55"/>
    <w:rsid w:val="007200F3"/>
    <w:rsid w:val="00723138"/>
    <w:rsid w:val="007241FE"/>
    <w:rsid w:val="007247A6"/>
    <w:rsid w:val="007256CE"/>
    <w:rsid w:val="007266A6"/>
    <w:rsid w:val="0073212E"/>
    <w:rsid w:val="00732227"/>
    <w:rsid w:val="00740680"/>
    <w:rsid w:val="00740EA0"/>
    <w:rsid w:val="00747270"/>
    <w:rsid w:val="007477BC"/>
    <w:rsid w:val="00747A40"/>
    <w:rsid w:val="00747F63"/>
    <w:rsid w:val="00753CEC"/>
    <w:rsid w:val="007546DE"/>
    <w:rsid w:val="0075522E"/>
    <w:rsid w:val="00762BDB"/>
    <w:rsid w:val="0076558C"/>
    <w:rsid w:val="00765B55"/>
    <w:rsid w:val="00770341"/>
    <w:rsid w:val="0077131A"/>
    <w:rsid w:val="007759A6"/>
    <w:rsid w:val="0078030D"/>
    <w:rsid w:val="00780F2D"/>
    <w:rsid w:val="0078159F"/>
    <w:rsid w:val="00783243"/>
    <w:rsid w:val="007905B2"/>
    <w:rsid w:val="00791A14"/>
    <w:rsid w:val="00796583"/>
    <w:rsid w:val="007977DE"/>
    <w:rsid w:val="007A338C"/>
    <w:rsid w:val="007A3AFC"/>
    <w:rsid w:val="007A6ADE"/>
    <w:rsid w:val="007A6C14"/>
    <w:rsid w:val="007A74A2"/>
    <w:rsid w:val="007B0EC1"/>
    <w:rsid w:val="007B1E59"/>
    <w:rsid w:val="007B1FDB"/>
    <w:rsid w:val="007B747E"/>
    <w:rsid w:val="007C0C4D"/>
    <w:rsid w:val="007C3D77"/>
    <w:rsid w:val="007C405B"/>
    <w:rsid w:val="007C4F4B"/>
    <w:rsid w:val="007C534A"/>
    <w:rsid w:val="007C6636"/>
    <w:rsid w:val="007C6825"/>
    <w:rsid w:val="007D33E6"/>
    <w:rsid w:val="007D62ED"/>
    <w:rsid w:val="007D662E"/>
    <w:rsid w:val="007E5B46"/>
    <w:rsid w:val="007F1144"/>
    <w:rsid w:val="007F4E9A"/>
    <w:rsid w:val="007F6B79"/>
    <w:rsid w:val="007F7DEC"/>
    <w:rsid w:val="0080404F"/>
    <w:rsid w:val="008100B5"/>
    <w:rsid w:val="00810F30"/>
    <w:rsid w:val="00821C5D"/>
    <w:rsid w:val="00821D40"/>
    <w:rsid w:val="0082295D"/>
    <w:rsid w:val="00822FD4"/>
    <w:rsid w:val="00825C2D"/>
    <w:rsid w:val="0083393E"/>
    <w:rsid w:val="00837B5F"/>
    <w:rsid w:val="0084126E"/>
    <w:rsid w:val="00842220"/>
    <w:rsid w:val="00843031"/>
    <w:rsid w:val="00845A2F"/>
    <w:rsid w:val="00846465"/>
    <w:rsid w:val="0084744E"/>
    <w:rsid w:val="00851B81"/>
    <w:rsid w:val="0085249F"/>
    <w:rsid w:val="00853F20"/>
    <w:rsid w:val="00861FBB"/>
    <w:rsid w:val="00862283"/>
    <w:rsid w:val="00863FC9"/>
    <w:rsid w:val="00865630"/>
    <w:rsid w:val="008821E0"/>
    <w:rsid w:val="00884519"/>
    <w:rsid w:val="008908B0"/>
    <w:rsid w:val="008A1BF5"/>
    <w:rsid w:val="008A365C"/>
    <w:rsid w:val="008A396A"/>
    <w:rsid w:val="008A4E3F"/>
    <w:rsid w:val="008A6DBF"/>
    <w:rsid w:val="008A7E94"/>
    <w:rsid w:val="008B1D92"/>
    <w:rsid w:val="008C19D2"/>
    <w:rsid w:val="008C1FF1"/>
    <w:rsid w:val="008C3D58"/>
    <w:rsid w:val="008C4161"/>
    <w:rsid w:val="008D1473"/>
    <w:rsid w:val="008D199D"/>
    <w:rsid w:val="008D20C8"/>
    <w:rsid w:val="008D3757"/>
    <w:rsid w:val="008D4999"/>
    <w:rsid w:val="008E2375"/>
    <w:rsid w:val="008E287E"/>
    <w:rsid w:val="008E5769"/>
    <w:rsid w:val="008E6CC2"/>
    <w:rsid w:val="008F2A21"/>
    <w:rsid w:val="008F52C5"/>
    <w:rsid w:val="00901155"/>
    <w:rsid w:val="0090154C"/>
    <w:rsid w:val="00905E00"/>
    <w:rsid w:val="009062ED"/>
    <w:rsid w:val="00915AC0"/>
    <w:rsid w:val="009234DE"/>
    <w:rsid w:val="00923920"/>
    <w:rsid w:val="0092790B"/>
    <w:rsid w:val="00932159"/>
    <w:rsid w:val="0093287D"/>
    <w:rsid w:val="009335FD"/>
    <w:rsid w:val="0093588E"/>
    <w:rsid w:val="00936E8C"/>
    <w:rsid w:val="00937728"/>
    <w:rsid w:val="00941D85"/>
    <w:rsid w:val="009422CF"/>
    <w:rsid w:val="00943688"/>
    <w:rsid w:val="009443E5"/>
    <w:rsid w:val="009464BC"/>
    <w:rsid w:val="00952901"/>
    <w:rsid w:val="00954222"/>
    <w:rsid w:val="0095631F"/>
    <w:rsid w:val="0095640A"/>
    <w:rsid w:val="00957F07"/>
    <w:rsid w:val="00960F2E"/>
    <w:rsid w:val="00961D82"/>
    <w:rsid w:val="00963336"/>
    <w:rsid w:val="009637A6"/>
    <w:rsid w:val="0096590F"/>
    <w:rsid w:val="0096643F"/>
    <w:rsid w:val="00972E3B"/>
    <w:rsid w:val="009734CD"/>
    <w:rsid w:val="00973FBF"/>
    <w:rsid w:val="00981778"/>
    <w:rsid w:val="009820C3"/>
    <w:rsid w:val="00982B3A"/>
    <w:rsid w:val="00992E7E"/>
    <w:rsid w:val="009A3724"/>
    <w:rsid w:val="009A462C"/>
    <w:rsid w:val="009A53EE"/>
    <w:rsid w:val="009A5B40"/>
    <w:rsid w:val="009B1C51"/>
    <w:rsid w:val="009B20E8"/>
    <w:rsid w:val="009B5C11"/>
    <w:rsid w:val="009C05D3"/>
    <w:rsid w:val="009C12E3"/>
    <w:rsid w:val="009C4445"/>
    <w:rsid w:val="009C62E5"/>
    <w:rsid w:val="009C7FC5"/>
    <w:rsid w:val="009D0C47"/>
    <w:rsid w:val="009D5546"/>
    <w:rsid w:val="009E12D1"/>
    <w:rsid w:val="009E166E"/>
    <w:rsid w:val="009F2B35"/>
    <w:rsid w:val="009F7F43"/>
    <w:rsid w:val="00A02278"/>
    <w:rsid w:val="00A02E6E"/>
    <w:rsid w:val="00A03A35"/>
    <w:rsid w:val="00A15AA7"/>
    <w:rsid w:val="00A16403"/>
    <w:rsid w:val="00A173C3"/>
    <w:rsid w:val="00A21F64"/>
    <w:rsid w:val="00A23F80"/>
    <w:rsid w:val="00A24DDD"/>
    <w:rsid w:val="00A260CE"/>
    <w:rsid w:val="00A269B6"/>
    <w:rsid w:val="00A319DB"/>
    <w:rsid w:val="00A327DF"/>
    <w:rsid w:val="00A3290F"/>
    <w:rsid w:val="00A374AF"/>
    <w:rsid w:val="00A479E2"/>
    <w:rsid w:val="00A51CF4"/>
    <w:rsid w:val="00A547C0"/>
    <w:rsid w:val="00A55559"/>
    <w:rsid w:val="00A56E15"/>
    <w:rsid w:val="00A57743"/>
    <w:rsid w:val="00A57F9F"/>
    <w:rsid w:val="00A61072"/>
    <w:rsid w:val="00A622DD"/>
    <w:rsid w:val="00A63E56"/>
    <w:rsid w:val="00A66FF4"/>
    <w:rsid w:val="00A67A79"/>
    <w:rsid w:val="00A8497F"/>
    <w:rsid w:val="00A92123"/>
    <w:rsid w:val="00A92538"/>
    <w:rsid w:val="00A93610"/>
    <w:rsid w:val="00A9442B"/>
    <w:rsid w:val="00A948BC"/>
    <w:rsid w:val="00A96E0E"/>
    <w:rsid w:val="00AA0F41"/>
    <w:rsid w:val="00AA3989"/>
    <w:rsid w:val="00AA69D6"/>
    <w:rsid w:val="00AB1D16"/>
    <w:rsid w:val="00AB39DA"/>
    <w:rsid w:val="00AB4ECC"/>
    <w:rsid w:val="00AC1885"/>
    <w:rsid w:val="00AC2409"/>
    <w:rsid w:val="00AC60CE"/>
    <w:rsid w:val="00AC6580"/>
    <w:rsid w:val="00AD0831"/>
    <w:rsid w:val="00AD1084"/>
    <w:rsid w:val="00AD24BE"/>
    <w:rsid w:val="00AD313C"/>
    <w:rsid w:val="00AD42AB"/>
    <w:rsid w:val="00AE7171"/>
    <w:rsid w:val="00AF1348"/>
    <w:rsid w:val="00B009D9"/>
    <w:rsid w:val="00B014CA"/>
    <w:rsid w:val="00B02024"/>
    <w:rsid w:val="00B02E46"/>
    <w:rsid w:val="00B0330A"/>
    <w:rsid w:val="00B035C4"/>
    <w:rsid w:val="00B068F5"/>
    <w:rsid w:val="00B13A0F"/>
    <w:rsid w:val="00B14D44"/>
    <w:rsid w:val="00B14E3F"/>
    <w:rsid w:val="00B15237"/>
    <w:rsid w:val="00B15F1E"/>
    <w:rsid w:val="00B23CDE"/>
    <w:rsid w:val="00B24272"/>
    <w:rsid w:val="00B26000"/>
    <w:rsid w:val="00B30004"/>
    <w:rsid w:val="00B300F2"/>
    <w:rsid w:val="00B325BD"/>
    <w:rsid w:val="00B34F0E"/>
    <w:rsid w:val="00B3508E"/>
    <w:rsid w:val="00B3536D"/>
    <w:rsid w:val="00B354B4"/>
    <w:rsid w:val="00B37504"/>
    <w:rsid w:val="00B402B4"/>
    <w:rsid w:val="00B43B44"/>
    <w:rsid w:val="00B457B8"/>
    <w:rsid w:val="00B4642A"/>
    <w:rsid w:val="00B46DF0"/>
    <w:rsid w:val="00B534C5"/>
    <w:rsid w:val="00B56DDB"/>
    <w:rsid w:val="00B5751E"/>
    <w:rsid w:val="00B60ACC"/>
    <w:rsid w:val="00B61B2F"/>
    <w:rsid w:val="00B63E5E"/>
    <w:rsid w:val="00B65F6A"/>
    <w:rsid w:val="00B71403"/>
    <w:rsid w:val="00B75A39"/>
    <w:rsid w:val="00B76E63"/>
    <w:rsid w:val="00B771AD"/>
    <w:rsid w:val="00B855D6"/>
    <w:rsid w:val="00B91EDA"/>
    <w:rsid w:val="00B9204A"/>
    <w:rsid w:val="00B927B2"/>
    <w:rsid w:val="00B95FDC"/>
    <w:rsid w:val="00BA0011"/>
    <w:rsid w:val="00BA07A7"/>
    <w:rsid w:val="00BA685E"/>
    <w:rsid w:val="00BB1B21"/>
    <w:rsid w:val="00BB3C97"/>
    <w:rsid w:val="00BB4010"/>
    <w:rsid w:val="00BB502F"/>
    <w:rsid w:val="00BB588A"/>
    <w:rsid w:val="00BB62C0"/>
    <w:rsid w:val="00BC09F8"/>
    <w:rsid w:val="00BC0A7D"/>
    <w:rsid w:val="00BC2C4D"/>
    <w:rsid w:val="00BC5070"/>
    <w:rsid w:val="00BC590E"/>
    <w:rsid w:val="00BD1712"/>
    <w:rsid w:val="00BD70F2"/>
    <w:rsid w:val="00BE17EE"/>
    <w:rsid w:val="00BE2275"/>
    <w:rsid w:val="00BE37BE"/>
    <w:rsid w:val="00BE3DEB"/>
    <w:rsid w:val="00BE4E71"/>
    <w:rsid w:val="00BE6763"/>
    <w:rsid w:val="00BF4769"/>
    <w:rsid w:val="00BF4EAA"/>
    <w:rsid w:val="00BF61FD"/>
    <w:rsid w:val="00C006F0"/>
    <w:rsid w:val="00C0648B"/>
    <w:rsid w:val="00C06493"/>
    <w:rsid w:val="00C10420"/>
    <w:rsid w:val="00C10D7B"/>
    <w:rsid w:val="00C16A45"/>
    <w:rsid w:val="00C25A8E"/>
    <w:rsid w:val="00C31008"/>
    <w:rsid w:val="00C31A1A"/>
    <w:rsid w:val="00C360E6"/>
    <w:rsid w:val="00C379DF"/>
    <w:rsid w:val="00C45C32"/>
    <w:rsid w:val="00C45CEC"/>
    <w:rsid w:val="00C51B43"/>
    <w:rsid w:val="00C632F7"/>
    <w:rsid w:val="00C63914"/>
    <w:rsid w:val="00C651B2"/>
    <w:rsid w:val="00C66FF2"/>
    <w:rsid w:val="00C73267"/>
    <w:rsid w:val="00C746DE"/>
    <w:rsid w:val="00C81479"/>
    <w:rsid w:val="00C864AC"/>
    <w:rsid w:val="00C86D85"/>
    <w:rsid w:val="00C8764D"/>
    <w:rsid w:val="00C879E9"/>
    <w:rsid w:val="00C92A5E"/>
    <w:rsid w:val="00C97049"/>
    <w:rsid w:val="00C97C15"/>
    <w:rsid w:val="00CA5FFB"/>
    <w:rsid w:val="00CA671E"/>
    <w:rsid w:val="00CB3E8A"/>
    <w:rsid w:val="00CB5C06"/>
    <w:rsid w:val="00CB5F8F"/>
    <w:rsid w:val="00CB638A"/>
    <w:rsid w:val="00CB7B82"/>
    <w:rsid w:val="00CC0402"/>
    <w:rsid w:val="00CC0988"/>
    <w:rsid w:val="00CC285D"/>
    <w:rsid w:val="00CC3493"/>
    <w:rsid w:val="00CC5B2B"/>
    <w:rsid w:val="00CD0C8A"/>
    <w:rsid w:val="00CD6E6B"/>
    <w:rsid w:val="00CE0182"/>
    <w:rsid w:val="00CF33A6"/>
    <w:rsid w:val="00CF39B9"/>
    <w:rsid w:val="00CF3F89"/>
    <w:rsid w:val="00D00B6E"/>
    <w:rsid w:val="00D135CF"/>
    <w:rsid w:val="00D13950"/>
    <w:rsid w:val="00D149F0"/>
    <w:rsid w:val="00D25278"/>
    <w:rsid w:val="00D2593B"/>
    <w:rsid w:val="00D27095"/>
    <w:rsid w:val="00D273A7"/>
    <w:rsid w:val="00D27AD7"/>
    <w:rsid w:val="00D307A5"/>
    <w:rsid w:val="00D30DA4"/>
    <w:rsid w:val="00D3697B"/>
    <w:rsid w:val="00D41D5A"/>
    <w:rsid w:val="00D434B0"/>
    <w:rsid w:val="00D43F33"/>
    <w:rsid w:val="00D44C38"/>
    <w:rsid w:val="00D50EFD"/>
    <w:rsid w:val="00D51973"/>
    <w:rsid w:val="00D5592D"/>
    <w:rsid w:val="00D577C8"/>
    <w:rsid w:val="00D600BC"/>
    <w:rsid w:val="00D601D6"/>
    <w:rsid w:val="00D6064A"/>
    <w:rsid w:val="00D6169B"/>
    <w:rsid w:val="00D61916"/>
    <w:rsid w:val="00D63B5D"/>
    <w:rsid w:val="00D64388"/>
    <w:rsid w:val="00D67CC3"/>
    <w:rsid w:val="00D70C0C"/>
    <w:rsid w:val="00D72702"/>
    <w:rsid w:val="00D742C3"/>
    <w:rsid w:val="00D80B84"/>
    <w:rsid w:val="00D8386A"/>
    <w:rsid w:val="00D85A73"/>
    <w:rsid w:val="00D87005"/>
    <w:rsid w:val="00D90531"/>
    <w:rsid w:val="00D95603"/>
    <w:rsid w:val="00D96C2E"/>
    <w:rsid w:val="00DA3F0D"/>
    <w:rsid w:val="00DA457D"/>
    <w:rsid w:val="00DB0648"/>
    <w:rsid w:val="00DB2977"/>
    <w:rsid w:val="00DB5D3C"/>
    <w:rsid w:val="00DB5D60"/>
    <w:rsid w:val="00DC0A86"/>
    <w:rsid w:val="00DC3871"/>
    <w:rsid w:val="00DC5429"/>
    <w:rsid w:val="00DC7B30"/>
    <w:rsid w:val="00DD139F"/>
    <w:rsid w:val="00DD1458"/>
    <w:rsid w:val="00DD3457"/>
    <w:rsid w:val="00DD350E"/>
    <w:rsid w:val="00DD5A69"/>
    <w:rsid w:val="00DD6E53"/>
    <w:rsid w:val="00DE0360"/>
    <w:rsid w:val="00DE41FD"/>
    <w:rsid w:val="00DE425C"/>
    <w:rsid w:val="00DE4A47"/>
    <w:rsid w:val="00DF4B5D"/>
    <w:rsid w:val="00DF67A8"/>
    <w:rsid w:val="00E03A9B"/>
    <w:rsid w:val="00E065BC"/>
    <w:rsid w:val="00E107D1"/>
    <w:rsid w:val="00E134C8"/>
    <w:rsid w:val="00E14EDF"/>
    <w:rsid w:val="00E176FD"/>
    <w:rsid w:val="00E17716"/>
    <w:rsid w:val="00E206B1"/>
    <w:rsid w:val="00E258BB"/>
    <w:rsid w:val="00E33CAA"/>
    <w:rsid w:val="00E3726F"/>
    <w:rsid w:val="00E4276B"/>
    <w:rsid w:val="00E42799"/>
    <w:rsid w:val="00E43D3B"/>
    <w:rsid w:val="00E44897"/>
    <w:rsid w:val="00E45AE9"/>
    <w:rsid w:val="00E475E7"/>
    <w:rsid w:val="00E51549"/>
    <w:rsid w:val="00E52FF0"/>
    <w:rsid w:val="00E544EE"/>
    <w:rsid w:val="00E56845"/>
    <w:rsid w:val="00E63487"/>
    <w:rsid w:val="00E64F60"/>
    <w:rsid w:val="00E71DB3"/>
    <w:rsid w:val="00E72AB0"/>
    <w:rsid w:val="00E77D49"/>
    <w:rsid w:val="00E80C33"/>
    <w:rsid w:val="00E81FC9"/>
    <w:rsid w:val="00E854B3"/>
    <w:rsid w:val="00E90F3C"/>
    <w:rsid w:val="00E90FE1"/>
    <w:rsid w:val="00E91295"/>
    <w:rsid w:val="00E91F0C"/>
    <w:rsid w:val="00EA171F"/>
    <w:rsid w:val="00EA2EE2"/>
    <w:rsid w:val="00EA6C96"/>
    <w:rsid w:val="00EB33F7"/>
    <w:rsid w:val="00EB3974"/>
    <w:rsid w:val="00EB52C9"/>
    <w:rsid w:val="00EB6381"/>
    <w:rsid w:val="00EB7833"/>
    <w:rsid w:val="00EC10BB"/>
    <w:rsid w:val="00EC2697"/>
    <w:rsid w:val="00EC3011"/>
    <w:rsid w:val="00EC51B7"/>
    <w:rsid w:val="00EC67CC"/>
    <w:rsid w:val="00EC7C4A"/>
    <w:rsid w:val="00ED39BF"/>
    <w:rsid w:val="00ED7933"/>
    <w:rsid w:val="00EE004B"/>
    <w:rsid w:val="00EE3562"/>
    <w:rsid w:val="00EE4FE4"/>
    <w:rsid w:val="00EF3705"/>
    <w:rsid w:val="00EF536D"/>
    <w:rsid w:val="00EF5CC2"/>
    <w:rsid w:val="00EF6D65"/>
    <w:rsid w:val="00EF7ED4"/>
    <w:rsid w:val="00F00E47"/>
    <w:rsid w:val="00F010B1"/>
    <w:rsid w:val="00F03DD5"/>
    <w:rsid w:val="00F14368"/>
    <w:rsid w:val="00F2499D"/>
    <w:rsid w:val="00F27D62"/>
    <w:rsid w:val="00F30308"/>
    <w:rsid w:val="00F358CD"/>
    <w:rsid w:val="00F372D4"/>
    <w:rsid w:val="00F3794D"/>
    <w:rsid w:val="00F37BE8"/>
    <w:rsid w:val="00F41ED9"/>
    <w:rsid w:val="00F42EFC"/>
    <w:rsid w:val="00F44A28"/>
    <w:rsid w:val="00F45760"/>
    <w:rsid w:val="00F52F6F"/>
    <w:rsid w:val="00F53118"/>
    <w:rsid w:val="00F531DD"/>
    <w:rsid w:val="00F53CE9"/>
    <w:rsid w:val="00F540D9"/>
    <w:rsid w:val="00F54362"/>
    <w:rsid w:val="00F54E36"/>
    <w:rsid w:val="00F606C5"/>
    <w:rsid w:val="00F65897"/>
    <w:rsid w:val="00F65A5F"/>
    <w:rsid w:val="00F7558A"/>
    <w:rsid w:val="00F81FD5"/>
    <w:rsid w:val="00F84BA2"/>
    <w:rsid w:val="00F84C27"/>
    <w:rsid w:val="00F8539A"/>
    <w:rsid w:val="00F85DB0"/>
    <w:rsid w:val="00F86FF4"/>
    <w:rsid w:val="00F92546"/>
    <w:rsid w:val="00F92865"/>
    <w:rsid w:val="00F94D5E"/>
    <w:rsid w:val="00F94E8A"/>
    <w:rsid w:val="00F9560C"/>
    <w:rsid w:val="00F95BB1"/>
    <w:rsid w:val="00F966B4"/>
    <w:rsid w:val="00F972D9"/>
    <w:rsid w:val="00F97855"/>
    <w:rsid w:val="00FA256E"/>
    <w:rsid w:val="00FA2920"/>
    <w:rsid w:val="00FA2E27"/>
    <w:rsid w:val="00FB1141"/>
    <w:rsid w:val="00FB37EF"/>
    <w:rsid w:val="00FB4031"/>
    <w:rsid w:val="00FB5239"/>
    <w:rsid w:val="00FB53DC"/>
    <w:rsid w:val="00FB75E6"/>
    <w:rsid w:val="00FB76DC"/>
    <w:rsid w:val="00FC05AE"/>
    <w:rsid w:val="00FC1E8A"/>
    <w:rsid w:val="00FC7A31"/>
    <w:rsid w:val="00FC7C59"/>
    <w:rsid w:val="00FD15EE"/>
    <w:rsid w:val="00FD2795"/>
    <w:rsid w:val="00FD3970"/>
    <w:rsid w:val="00FD413A"/>
    <w:rsid w:val="00FD71BD"/>
    <w:rsid w:val="00FE1C3C"/>
    <w:rsid w:val="00FE3A1A"/>
    <w:rsid w:val="00FE526D"/>
    <w:rsid w:val="00FE5C19"/>
    <w:rsid w:val="00FE68A2"/>
    <w:rsid w:val="00FF0AF3"/>
    <w:rsid w:val="00FF0C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6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9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F44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44A28"/>
    <w:pPr>
      <w:ind w:left="720"/>
      <w:contextualSpacing/>
    </w:pPr>
  </w:style>
  <w:style w:type="paragraph" w:styleId="Encabezado">
    <w:name w:val="header"/>
    <w:basedOn w:val="Normal"/>
    <w:link w:val="EncabezadoCar"/>
    <w:uiPriority w:val="99"/>
    <w:unhideWhenUsed/>
    <w:rsid w:val="00F44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A28"/>
  </w:style>
  <w:style w:type="paragraph" w:styleId="Piedepgina">
    <w:name w:val="footer"/>
    <w:basedOn w:val="Normal"/>
    <w:link w:val="PiedepginaCar"/>
    <w:uiPriority w:val="99"/>
    <w:unhideWhenUsed/>
    <w:rsid w:val="00F44A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A28"/>
  </w:style>
  <w:style w:type="paragraph" w:customStyle="1" w:styleId="Default">
    <w:name w:val="Default"/>
    <w:rsid w:val="00AC2409"/>
    <w:pPr>
      <w:autoSpaceDE w:val="0"/>
      <w:autoSpaceDN w:val="0"/>
      <w:adjustRightInd w:val="0"/>
      <w:spacing w:after="0" w:line="240" w:lineRule="auto"/>
    </w:pPr>
    <w:rPr>
      <w:rFonts w:ascii="Times New Roman" w:hAnsi="Times New Roman" w:cs="Times New Roman"/>
      <w:color w:val="000000"/>
      <w:sz w:val="24"/>
      <w:szCs w:val="24"/>
    </w:rPr>
  </w:style>
  <w:style w:type="paragraph" w:styleId="Epgrafe">
    <w:name w:val="caption"/>
    <w:basedOn w:val="Normal"/>
    <w:next w:val="Normal"/>
    <w:uiPriority w:val="35"/>
    <w:unhideWhenUsed/>
    <w:qFormat/>
    <w:rsid w:val="00EA2EE2"/>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F37B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BE8"/>
    <w:rPr>
      <w:rFonts w:ascii="Tahoma" w:hAnsi="Tahoma" w:cs="Tahoma"/>
      <w:sz w:val="16"/>
      <w:szCs w:val="16"/>
    </w:rPr>
  </w:style>
  <w:style w:type="character" w:styleId="Refdecomentario">
    <w:name w:val="annotation reference"/>
    <w:basedOn w:val="Fuentedeprrafopredeter"/>
    <w:uiPriority w:val="99"/>
    <w:semiHidden/>
    <w:unhideWhenUsed/>
    <w:rsid w:val="002B0F58"/>
    <w:rPr>
      <w:sz w:val="16"/>
      <w:szCs w:val="16"/>
    </w:rPr>
  </w:style>
  <w:style w:type="paragraph" w:styleId="Textocomentario">
    <w:name w:val="annotation text"/>
    <w:basedOn w:val="Normal"/>
    <w:link w:val="TextocomentarioCar"/>
    <w:uiPriority w:val="99"/>
    <w:semiHidden/>
    <w:unhideWhenUsed/>
    <w:rsid w:val="002B0F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0F58"/>
    <w:rPr>
      <w:sz w:val="20"/>
      <w:szCs w:val="20"/>
    </w:rPr>
  </w:style>
  <w:style w:type="paragraph" w:styleId="Asuntodelcomentario">
    <w:name w:val="annotation subject"/>
    <w:basedOn w:val="Textocomentario"/>
    <w:next w:val="Textocomentario"/>
    <w:link w:val="AsuntodelcomentarioCar"/>
    <w:uiPriority w:val="99"/>
    <w:semiHidden/>
    <w:unhideWhenUsed/>
    <w:rsid w:val="002B0F58"/>
    <w:rPr>
      <w:b/>
      <w:bCs/>
    </w:rPr>
  </w:style>
  <w:style w:type="character" w:customStyle="1" w:styleId="AsuntodelcomentarioCar">
    <w:name w:val="Asunto del comentario Car"/>
    <w:basedOn w:val="TextocomentarioCar"/>
    <w:link w:val="Asuntodelcomentario"/>
    <w:uiPriority w:val="99"/>
    <w:semiHidden/>
    <w:rsid w:val="002B0F58"/>
    <w:rPr>
      <w:b/>
      <w:bCs/>
      <w:sz w:val="20"/>
      <w:szCs w:val="20"/>
    </w:rPr>
  </w:style>
  <w:style w:type="paragraph" w:styleId="Textoindependiente">
    <w:name w:val="Body Text"/>
    <w:basedOn w:val="Normal"/>
    <w:link w:val="TextoindependienteCar"/>
    <w:uiPriority w:val="99"/>
    <w:semiHidden/>
    <w:rsid w:val="009443E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9443E5"/>
    <w:rPr>
      <w:rFonts w:ascii="Calibri" w:eastAsia="Calibri" w:hAnsi="Calibri" w:cs="Times New Roman"/>
    </w:rPr>
  </w:style>
  <w:style w:type="paragraph" w:styleId="NormalWeb">
    <w:name w:val="Normal (Web)"/>
    <w:basedOn w:val="Normal"/>
    <w:uiPriority w:val="99"/>
    <w:rsid w:val="008E576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F956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9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F44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44A28"/>
    <w:pPr>
      <w:ind w:left="720"/>
      <w:contextualSpacing/>
    </w:pPr>
  </w:style>
  <w:style w:type="paragraph" w:styleId="Encabezado">
    <w:name w:val="header"/>
    <w:basedOn w:val="Normal"/>
    <w:link w:val="EncabezadoCar"/>
    <w:uiPriority w:val="99"/>
    <w:unhideWhenUsed/>
    <w:rsid w:val="00F44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A28"/>
  </w:style>
  <w:style w:type="paragraph" w:styleId="Piedepgina">
    <w:name w:val="footer"/>
    <w:basedOn w:val="Normal"/>
    <w:link w:val="PiedepginaCar"/>
    <w:uiPriority w:val="99"/>
    <w:unhideWhenUsed/>
    <w:rsid w:val="00F44A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A28"/>
  </w:style>
  <w:style w:type="paragraph" w:customStyle="1" w:styleId="Default">
    <w:name w:val="Default"/>
    <w:rsid w:val="00AC2409"/>
    <w:pPr>
      <w:autoSpaceDE w:val="0"/>
      <w:autoSpaceDN w:val="0"/>
      <w:adjustRightInd w:val="0"/>
      <w:spacing w:after="0" w:line="240" w:lineRule="auto"/>
    </w:pPr>
    <w:rPr>
      <w:rFonts w:ascii="Times New Roman" w:hAnsi="Times New Roman" w:cs="Times New Roman"/>
      <w:color w:val="000000"/>
      <w:sz w:val="24"/>
      <w:szCs w:val="24"/>
    </w:rPr>
  </w:style>
  <w:style w:type="paragraph" w:styleId="Epgrafe">
    <w:name w:val="caption"/>
    <w:basedOn w:val="Normal"/>
    <w:next w:val="Normal"/>
    <w:uiPriority w:val="35"/>
    <w:unhideWhenUsed/>
    <w:qFormat/>
    <w:rsid w:val="00EA2EE2"/>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F37B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BE8"/>
    <w:rPr>
      <w:rFonts w:ascii="Tahoma" w:hAnsi="Tahoma" w:cs="Tahoma"/>
      <w:sz w:val="16"/>
      <w:szCs w:val="16"/>
    </w:rPr>
  </w:style>
  <w:style w:type="character" w:styleId="Refdecomentario">
    <w:name w:val="annotation reference"/>
    <w:basedOn w:val="Fuentedeprrafopredeter"/>
    <w:uiPriority w:val="99"/>
    <w:semiHidden/>
    <w:unhideWhenUsed/>
    <w:rsid w:val="002B0F58"/>
    <w:rPr>
      <w:sz w:val="16"/>
      <w:szCs w:val="16"/>
    </w:rPr>
  </w:style>
  <w:style w:type="paragraph" w:styleId="Textocomentario">
    <w:name w:val="annotation text"/>
    <w:basedOn w:val="Normal"/>
    <w:link w:val="TextocomentarioCar"/>
    <w:uiPriority w:val="99"/>
    <w:semiHidden/>
    <w:unhideWhenUsed/>
    <w:rsid w:val="002B0F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0F58"/>
    <w:rPr>
      <w:sz w:val="20"/>
      <w:szCs w:val="20"/>
    </w:rPr>
  </w:style>
  <w:style w:type="paragraph" w:styleId="Asuntodelcomentario">
    <w:name w:val="annotation subject"/>
    <w:basedOn w:val="Textocomentario"/>
    <w:next w:val="Textocomentario"/>
    <w:link w:val="AsuntodelcomentarioCar"/>
    <w:uiPriority w:val="99"/>
    <w:semiHidden/>
    <w:unhideWhenUsed/>
    <w:rsid w:val="002B0F58"/>
    <w:rPr>
      <w:b/>
      <w:bCs/>
    </w:rPr>
  </w:style>
  <w:style w:type="character" w:customStyle="1" w:styleId="AsuntodelcomentarioCar">
    <w:name w:val="Asunto del comentario Car"/>
    <w:basedOn w:val="TextocomentarioCar"/>
    <w:link w:val="Asuntodelcomentario"/>
    <w:uiPriority w:val="99"/>
    <w:semiHidden/>
    <w:rsid w:val="002B0F58"/>
    <w:rPr>
      <w:b/>
      <w:bCs/>
      <w:sz w:val="20"/>
      <w:szCs w:val="20"/>
    </w:rPr>
  </w:style>
  <w:style w:type="paragraph" w:styleId="Textoindependiente">
    <w:name w:val="Body Text"/>
    <w:basedOn w:val="Normal"/>
    <w:link w:val="TextoindependienteCar"/>
    <w:uiPriority w:val="99"/>
    <w:semiHidden/>
    <w:rsid w:val="009443E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9443E5"/>
    <w:rPr>
      <w:rFonts w:ascii="Calibri" w:eastAsia="Calibri" w:hAnsi="Calibri" w:cs="Times New Roman"/>
    </w:rPr>
  </w:style>
  <w:style w:type="paragraph" w:styleId="NormalWeb">
    <w:name w:val="Normal (Web)"/>
    <w:basedOn w:val="Normal"/>
    <w:uiPriority w:val="99"/>
    <w:rsid w:val="008E576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F956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5167">
      <w:bodyDiv w:val="1"/>
      <w:marLeft w:val="0"/>
      <w:marRight w:val="0"/>
      <w:marTop w:val="0"/>
      <w:marBottom w:val="0"/>
      <w:divBdr>
        <w:top w:val="none" w:sz="0" w:space="0" w:color="auto"/>
        <w:left w:val="none" w:sz="0" w:space="0" w:color="auto"/>
        <w:bottom w:val="none" w:sz="0" w:space="0" w:color="auto"/>
        <w:right w:val="none" w:sz="0" w:space="0" w:color="auto"/>
      </w:divBdr>
      <w:divsChild>
        <w:div w:id="1067649187">
          <w:marLeft w:val="0"/>
          <w:marRight w:val="0"/>
          <w:marTop w:val="0"/>
          <w:marBottom w:val="0"/>
          <w:divBdr>
            <w:top w:val="none" w:sz="0" w:space="0" w:color="auto"/>
            <w:left w:val="none" w:sz="0" w:space="0" w:color="auto"/>
            <w:bottom w:val="none" w:sz="0" w:space="0" w:color="auto"/>
            <w:right w:val="none" w:sz="0" w:space="0" w:color="auto"/>
          </w:divBdr>
          <w:divsChild>
            <w:div w:id="1977443143">
              <w:marLeft w:val="0"/>
              <w:marRight w:val="0"/>
              <w:marTop w:val="0"/>
              <w:marBottom w:val="0"/>
              <w:divBdr>
                <w:top w:val="none" w:sz="0" w:space="0" w:color="auto"/>
                <w:left w:val="none" w:sz="0" w:space="0" w:color="auto"/>
                <w:bottom w:val="none" w:sz="0" w:space="0" w:color="auto"/>
                <w:right w:val="none" w:sz="0" w:space="0" w:color="auto"/>
              </w:divBdr>
            </w:div>
          </w:divsChild>
        </w:div>
        <w:div w:id="970787194">
          <w:marLeft w:val="0"/>
          <w:marRight w:val="0"/>
          <w:marTop w:val="0"/>
          <w:marBottom w:val="0"/>
          <w:divBdr>
            <w:top w:val="none" w:sz="0" w:space="0" w:color="auto"/>
            <w:left w:val="none" w:sz="0" w:space="0" w:color="auto"/>
            <w:bottom w:val="none" w:sz="0" w:space="0" w:color="auto"/>
            <w:right w:val="none" w:sz="0" w:space="0" w:color="auto"/>
          </w:divBdr>
          <w:divsChild>
            <w:div w:id="15431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068">
      <w:bodyDiv w:val="1"/>
      <w:marLeft w:val="0"/>
      <w:marRight w:val="0"/>
      <w:marTop w:val="0"/>
      <w:marBottom w:val="0"/>
      <w:divBdr>
        <w:top w:val="none" w:sz="0" w:space="0" w:color="auto"/>
        <w:left w:val="none" w:sz="0" w:space="0" w:color="auto"/>
        <w:bottom w:val="none" w:sz="0" w:space="0" w:color="auto"/>
        <w:right w:val="none" w:sz="0" w:space="0" w:color="auto"/>
      </w:divBdr>
      <w:divsChild>
        <w:div w:id="2066441452">
          <w:marLeft w:val="0"/>
          <w:marRight w:val="0"/>
          <w:marTop w:val="0"/>
          <w:marBottom w:val="0"/>
          <w:divBdr>
            <w:top w:val="none" w:sz="0" w:space="0" w:color="auto"/>
            <w:left w:val="none" w:sz="0" w:space="0" w:color="auto"/>
            <w:bottom w:val="none" w:sz="0" w:space="0" w:color="auto"/>
            <w:right w:val="none" w:sz="0" w:space="0" w:color="auto"/>
          </w:divBdr>
          <w:divsChild>
            <w:div w:id="1190485342">
              <w:marLeft w:val="0"/>
              <w:marRight w:val="0"/>
              <w:marTop w:val="0"/>
              <w:marBottom w:val="0"/>
              <w:divBdr>
                <w:top w:val="none" w:sz="0" w:space="0" w:color="auto"/>
                <w:left w:val="none" w:sz="0" w:space="0" w:color="auto"/>
                <w:bottom w:val="none" w:sz="0" w:space="0" w:color="auto"/>
                <w:right w:val="none" w:sz="0" w:space="0" w:color="auto"/>
              </w:divBdr>
            </w:div>
          </w:divsChild>
        </w:div>
        <w:div w:id="2040465506">
          <w:marLeft w:val="0"/>
          <w:marRight w:val="0"/>
          <w:marTop w:val="0"/>
          <w:marBottom w:val="0"/>
          <w:divBdr>
            <w:top w:val="none" w:sz="0" w:space="0" w:color="auto"/>
            <w:left w:val="none" w:sz="0" w:space="0" w:color="auto"/>
            <w:bottom w:val="none" w:sz="0" w:space="0" w:color="auto"/>
            <w:right w:val="none" w:sz="0" w:space="0" w:color="auto"/>
          </w:divBdr>
          <w:divsChild>
            <w:div w:id="1423449777">
              <w:marLeft w:val="0"/>
              <w:marRight w:val="0"/>
              <w:marTop w:val="0"/>
              <w:marBottom w:val="0"/>
              <w:divBdr>
                <w:top w:val="none" w:sz="0" w:space="0" w:color="auto"/>
                <w:left w:val="none" w:sz="0" w:space="0" w:color="auto"/>
                <w:bottom w:val="none" w:sz="0" w:space="0" w:color="auto"/>
                <w:right w:val="none" w:sz="0" w:space="0" w:color="auto"/>
              </w:divBdr>
            </w:div>
          </w:divsChild>
        </w:div>
        <w:div w:id="371030819">
          <w:marLeft w:val="0"/>
          <w:marRight w:val="0"/>
          <w:marTop w:val="0"/>
          <w:marBottom w:val="0"/>
          <w:divBdr>
            <w:top w:val="none" w:sz="0" w:space="0" w:color="auto"/>
            <w:left w:val="none" w:sz="0" w:space="0" w:color="auto"/>
            <w:bottom w:val="none" w:sz="0" w:space="0" w:color="auto"/>
            <w:right w:val="none" w:sz="0" w:space="0" w:color="auto"/>
          </w:divBdr>
          <w:divsChild>
            <w:div w:id="747535149">
              <w:marLeft w:val="0"/>
              <w:marRight w:val="0"/>
              <w:marTop w:val="0"/>
              <w:marBottom w:val="0"/>
              <w:divBdr>
                <w:top w:val="none" w:sz="0" w:space="0" w:color="auto"/>
                <w:left w:val="none" w:sz="0" w:space="0" w:color="auto"/>
                <w:bottom w:val="none" w:sz="0" w:space="0" w:color="auto"/>
                <w:right w:val="none" w:sz="0" w:space="0" w:color="auto"/>
              </w:divBdr>
            </w:div>
          </w:divsChild>
        </w:div>
        <w:div w:id="701709702">
          <w:marLeft w:val="0"/>
          <w:marRight w:val="0"/>
          <w:marTop w:val="0"/>
          <w:marBottom w:val="0"/>
          <w:divBdr>
            <w:top w:val="none" w:sz="0" w:space="0" w:color="auto"/>
            <w:left w:val="none" w:sz="0" w:space="0" w:color="auto"/>
            <w:bottom w:val="none" w:sz="0" w:space="0" w:color="auto"/>
            <w:right w:val="none" w:sz="0" w:space="0" w:color="auto"/>
          </w:divBdr>
          <w:divsChild>
            <w:div w:id="606498104">
              <w:marLeft w:val="0"/>
              <w:marRight w:val="0"/>
              <w:marTop w:val="0"/>
              <w:marBottom w:val="0"/>
              <w:divBdr>
                <w:top w:val="none" w:sz="0" w:space="0" w:color="auto"/>
                <w:left w:val="none" w:sz="0" w:space="0" w:color="auto"/>
                <w:bottom w:val="none" w:sz="0" w:space="0" w:color="auto"/>
                <w:right w:val="none" w:sz="0" w:space="0" w:color="auto"/>
              </w:divBdr>
            </w:div>
          </w:divsChild>
        </w:div>
        <w:div w:id="1984119199">
          <w:marLeft w:val="0"/>
          <w:marRight w:val="0"/>
          <w:marTop w:val="0"/>
          <w:marBottom w:val="0"/>
          <w:divBdr>
            <w:top w:val="none" w:sz="0" w:space="0" w:color="auto"/>
            <w:left w:val="none" w:sz="0" w:space="0" w:color="auto"/>
            <w:bottom w:val="none" w:sz="0" w:space="0" w:color="auto"/>
            <w:right w:val="none" w:sz="0" w:space="0" w:color="auto"/>
          </w:divBdr>
          <w:divsChild>
            <w:div w:id="1623808323">
              <w:marLeft w:val="0"/>
              <w:marRight w:val="0"/>
              <w:marTop w:val="0"/>
              <w:marBottom w:val="0"/>
              <w:divBdr>
                <w:top w:val="none" w:sz="0" w:space="0" w:color="auto"/>
                <w:left w:val="none" w:sz="0" w:space="0" w:color="auto"/>
                <w:bottom w:val="none" w:sz="0" w:space="0" w:color="auto"/>
                <w:right w:val="none" w:sz="0" w:space="0" w:color="auto"/>
              </w:divBdr>
            </w:div>
          </w:divsChild>
        </w:div>
        <w:div w:id="365645003">
          <w:marLeft w:val="0"/>
          <w:marRight w:val="0"/>
          <w:marTop w:val="0"/>
          <w:marBottom w:val="0"/>
          <w:divBdr>
            <w:top w:val="none" w:sz="0" w:space="0" w:color="auto"/>
            <w:left w:val="none" w:sz="0" w:space="0" w:color="auto"/>
            <w:bottom w:val="none" w:sz="0" w:space="0" w:color="auto"/>
            <w:right w:val="none" w:sz="0" w:space="0" w:color="auto"/>
          </w:divBdr>
          <w:divsChild>
            <w:div w:id="240066926">
              <w:marLeft w:val="0"/>
              <w:marRight w:val="0"/>
              <w:marTop w:val="0"/>
              <w:marBottom w:val="0"/>
              <w:divBdr>
                <w:top w:val="none" w:sz="0" w:space="0" w:color="auto"/>
                <w:left w:val="none" w:sz="0" w:space="0" w:color="auto"/>
                <w:bottom w:val="none" w:sz="0" w:space="0" w:color="auto"/>
                <w:right w:val="none" w:sz="0" w:space="0" w:color="auto"/>
              </w:divBdr>
            </w:div>
          </w:divsChild>
        </w:div>
        <w:div w:id="2010450655">
          <w:marLeft w:val="0"/>
          <w:marRight w:val="0"/>
          <w:marTop w:val="0"/>
          <w:marBottom w:val="0"/>
          <w:divBdr>
            <w:top w:val="none" w:sz="0" w:space="0" w:color="auto"/>
            <w:left w:val="none" w:sz="0" w:space="0" w:color="auto"/>
            <w:bottom w:val="none" w:sz="0" w:space="0" w:color="auto"/>
            <w:right w:val="none" w:sz="0" w:space="0" w:color="auto"/>
          </w:divBdr>
          <w:divsChild>
            <w:div w:id="6768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00512">
      <w:bodyDiv w:val="1"/>
      <w:marLeft w:val="0"/>
      <w:marRight w:val="0"/>
      <w:marTop w:val="0"/>
      <w:marBottom w:val="0"/>
      <w:divBdr>
        <w:top w:val="none" w:sz="0" w:space="0" w:color="auto"/>
        <w:left w:val="none" w:sz="0" w:space="0" w:color="auto"/>
        <w:bottom w:val="none" w:sz="0" w:space="0" w:color="auto"/>
        <w:right w:val="none" w:sz="0" w:space="0" w:color="auto"/>
      </w:divBdr>
      <w:divsChild>
        <w:div w:id="1073239123">
          <w:marLeft w:val="0"/>
          <w:marRight w:val="0"/>
          <w:marTop w:val="0"/>
          <w:marBottom w:val="0"/>
          <w:divBdr>
            <w:top w:val="none" w:sz="0" w:space="0" w:color="auto"/>
            <w:left w:val="none" w:sz="0" w:space="0" w:color="auto"/>
            <w:bottom w:val="none" w:sz="0" w:space="0" w:color="auto"/>
            <w:right w:val="none" w:sz="0" w:space="0" w:color="auto"/>
          </w:divBdr>
          <w:divsChild>
            <w:div w:id="998197168">
              <w:marLeft w:val="0"/>
              <w:marRight w:val="0"/>
              <w:marTop w:val="0"/>
              <w:marBottom w:val="0"/>
              <w:divBdr>
                <w:top w:val="none" w:sz="0" w:space="0" w:color="auto"/>
                <w:left w:val="none" w:sz="0" w:space="0" w:color="auto"/>
                <w:bottom w:val="none" w:sz="0" w:space="0" w:color="auto"/>
                <w:right w:val="none" w:sz="0" w:space="0" w:color="auto"/>
              </w:divBdr>
            </w:div>
          </w:divsChild>
        </w:div>
        <w:div w:id="1419444685">
          <w:marLeft w:val="0"/>
          <w:marRight w:val="0"/>
          <w:marTop w:val="0"/>
          <w:marBottom w:val="0"/>
          <w:divBdr>
            <w:top w:val="none" w:sz="0" w:space="0" w:color="auto"/>
            <w:left w:val="none" w:sz="0" w:space="0" w:color="auto"/>
            <w:bottom w:val="none" w:sz="0" w:space="0" w:color="auto"/>
            <w:right w:val="none" w:sz="0" w:space="0" w:color="auto"/>
          </w:divBdr>
          <w:divsChild>
            <w:div w:id="5825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9165">
      <w:bodyDiv w:val="1"/>
      <w:marLeft w:val="0"/>
      <w:marRight w:val="0"/>
      <w:marTop w:val="0"/>
      <w:marBottom w:val="0"/>
      <w:divBdr>
        <w:top w:val="none" w:sz="0" w:space="0" w:color="auto"/>
        <w:left w:val="none" w:sz="0" w:space="0" w:color="auto"/>
        <w:bottom w:val="none" w:sz="0" w:space="0" w:color="auto"/>
        <w:right w:val="none" w:sz="0" w:space="0" w:color="auto"/>
      </w:divBdr>
      <w:divsChild>
        <w:div w:id="150222403">
          <w:marLeft w:val="0"/>
          <w:marRight w:val="0"/>
          <w:marTop w:val="0"/>
          <w:marBottom w:val="0"/>
          <w:divBdr>
            <w:top w:val="none" w:sz="0" w:space="0" w:color="auto"/>
            <w:left w:val="none" w:sz="0" w:space="0" w:color="auto"/>
            <w:bottom w:val="none" w:sz="0" w:space="0" w:color="auto"/>
            <w:right w:val="none" w:sz="0" w:space="0" w:color="auto"/>
          </w:divBdr>
          <w:divsChild>
            <w:div w:id="1795633249">
              <w:marLeft w:val="0"/>
              <w:marRight w:val="0"/>
              <w:marTop w:val="0"/>
              <w:marBottom w:val="0"/>
              <w:divBdr>
                <w:top w:val="none" w:sz="0" w:space="0" w:color="auto"/>
                <w:left w:val="none" w:sz="0" w:space="0" w:color="auto"/>
                <w:bottom w:val="none" w:sz="0" w:space="0" w:color="auto"/>
                <w:right w:val="none" w:sz="0" w:space="0" w:color="auto"/>
              </w:divBdr>
            </w:div>
          </w:divsChild>
        </w:div>
        <w:div w:id="635840085">
          <w:marLeft w:val="0"/>
          <w:marRight w:val="0"/>
          <w:marTop w:val="0"/>
          <w:marBottom w:val="0"/>
          <w:divBdr>
            <w:top w:val="none" w:sz="0" w:space="0" w:color="auto"/>
            <w:left w:val="none" w:sz="0" w:space="0" w:color="auto"/>
            <w:bottom w:val="none" w:sz="0" w:space="0" w:color="auto"/>
            <w:right w:val="none" w:sz="0" w:space="0" w:color="auto"/>
          </w:divBdr>
          <w:divsChild>
            <w:div w:id="1224487877">
              <w:marLeft w:val="0"/>
              <w:marRight w:val="0"/>
              <w:marTop w:val="0"/>
              <w:marBottom w:val="0"/>
              <w:divBdr>
                <w:top w:val="none" w:sz="0" w:space="0" w:color="auto"/>
                <w:left w:val="none" w:sz="0" w:space="0" w:color="auto"/>
                <w:bottom w:val="none" w:sz="0" w:space="0" w:color="auto"/>
                <w:right w:val="none" w:sz="0" w:space="0" w:color="auto"/>
              </w:divBdr>
            </w:div>
          </w:divsChild>
        </w:div>
        <w:div w:id="1661620486">
          <w:marLeft w:val="0"/>
          <w:marRight w:val="0"/>
          <w:marTop w:val="0"/>
          <w:marBottom w:val="0"/>
          <w:divBdr>
            <w:top w:val="none" w:sz="0" w:space="0" w:color="auto"/>
            <w:left w:val="none" w:sz="0" w:space="0" w:color="auto"/>
            <w:bottom w:val="none" w:sz="0" w:space="0" w:color="auto"/>
            <w:right w:val="none" w:sz="0" w:space="0" w:color="auto"/>
          </w:divBdr>
          <w:divsChild>
            <w:div w:id="789780811">
              <w:marLeft w:val="0"/>
              <w:marRight w:val="0"/>
              <w:marTop w:val="0"/>
              <w:marBottom w:val="0"/>
              <w:divBdr>
                <w:top w:val="none" w:sz="0" w:space="0" w:color="auto"/>
                <w:left w:val="none" w:sz="0" w:space="0" w:color="auto"/>
                <w:bottom w:val="none" w:sz="0" w:space="0" w:color="auto"/>
                <w:right w:val="none" w:sz="0" w:space="0" w:color="auto"/>
              </w:divBdr>
            </w:div>
          </w:divsChild>
        </w:div>
        <w:div w:id="1725443760">
          <w:marLeft w:val="0"/>
          <w:marRight w:val="0"/>
          <w:marTop w:val="0"/>
          <w:marBottom w:val="0"/>
          <w:divBdr>
            <w:top w:val="none" w:sz="0" w:space="0" w:color="auto"/>
            <w:left w:val="none" w:sz="0" w:space="0" w:color="auto"/>
            <w:bottom w:val="none" w:sz="0" w:space="0" w:color="auto"/>
            <w:right w:val="none" w:sz="0" w:space="0" w:color="auto"/>
          </w:divBdr>
          <w:divsChild>
            <w:div w:id="8725079">
              <w:marLeft w:val="0"/>
              <w:marRight w:val="0"/>
              <w:marTop w:val="0"/>
              <w:marBottom w:val="0"/>
              <w:divBdr>
                <w:top w:val="none" w:sz="0" w:space="0" w:color="auto"/>
                <w:left w:val="none" w:sz="0" w:space="0" w:color="auto"/>
                <w:bottom w:val="none" w:sz="0" w:space="0" w:color="auto"/>
                <w:right w:val="none" w:sz="0" w:space="0" w:color="auto"/>
              </w:divBdr>
            </w:div>
          </w:divsChild>
        </w:div>
        <w:div w:id="252707733">
          <w:marLeft w:val="0"/>
          <w:marRight w:val="0"/>
          <w:marTop w:val="0"/>
          <w:marBottom w:val="0"/>
          <w:divBdr>
            <w:top w:val="none" w:sz="0" w:space="0" w:color="auto"/>
            <w:left w:val="none" w:sz="0" w:space="0" w:color="auto"/>
            <w:bottom w:val="none" w:sz="0" w:space="0" w:color="auto"/>
            <w:right w:val="none" w:sz="0" w:space="0" w:color="auto"/>
          </w:divBdr>
          <w:divsChild>
            <w:div w:id="1023288720">
              <w:marLeft w:val="0"/>
              <w:marRight w:val="0"/>
              <w:marTop w:val="0"/>
              <w:marBottom w:val="0"/>
              <w:divBdr>
                <w:top w:val="none" w:sz="0" w:space="0" w:color="auto"/>
                <w:left w:val="none" w:sz="0" w:space="0" w:color="auto"/>
                <w:bottom w:val="none" w:sz="0" w:space="0" w:color="auto"/>
                <w:right w:val="none" w:sz="0" w:space="0" w:color="auto"/>
              </w:divBdr>
            </w:div>
          </w:divsChild>
        </w:div>
        <w:div w:id="409929519">
          <w:marLeft w:val="0"/>
          <w:marRight w:val="0"/>
          <w:marTop w:val="0"/>
          <w:marBottom w:val="0"/>
          <w:divBdr>
            <w:top w:val="none" w:sz="0" w:space="0" w:color="auto"/>
            <w:left w:val="none" w:sz="0" w:space="0" w:color="auto"/>
            <w:bottom w:val="none" w:sz="0" w:space="0" w:color="auto"/>
            <w:right w:val="none" w:sz="0" w:space="0" w:color="auto"/>
          </w:divBdr>
          <w:divsChild>
            <w:div w:id="1664816587">
              <w:marLeft w:val="0"/>
              <w:marRight w:val="0"/>
              <w:marTop w:val="0"/>
              <w:marBottom w:val="0"/>
              <w:divBdr>
                <w:top w:val="none" w:sz="0" w:space="0" w:color="auto"/>
                <w:left w:val="none" w:sz="0" w:space="0" w:color="auto"/>
                <w:bottom w:val="none" w:sz="0" w:space="0" w:color="auto"/>
                <w:right w:val="none" w:sz="0" w:space="0" w:color="auto"/>
              </w:divBdr>
            </w:div>
          </w:divsChild>
        </w:div>
        <w:div w:id="724639500">
          <w:marLeft w:val="0"/>
          <w:marRight w:val="0"/>
          <w:marTop w:val="0"/>
          <w:marBottom w:val="0"/>
          <w:divBdr>
            <w:top w:val="none" w:sz="0" w:space="0" w:color="auto"/>
            <w:left w:val="none" w:sz="0" w:space="0" w:color="auto"/>
            <w:bottom w:val="none" w:sz="0" w:space="0" w:color="auto"/>
            <w:right w:val="none" w:sz="0" w:space="0" w:color="auto"/>
          </w:divBdr>
          <w:divsChild>
            <w:div w:id="4388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3285">
      <w:bodyDiv w:val="1"/>
      <w:marLeft w:val="0"/>
      <w:marRight w:val="0"/>
      <w:marTop w:val="0"/>
      <w:marBottom w:val="0"/>
      <w:divBdr>
        <w:top w:val="none" w:sz="0" w:space="0" w:color="auto"/>
        <w:left w:val="none" w:sz="0" w:space="0" w:color="auto"/>
        <w:bottom w:val="none" w:sz="0" w:space="0" w:color="auto"/>
        <w:right w:val="none" w:sz="0" w:space="0" w:color="auto"/>
      </w:divBdr>
    </w:div>
    <w:div w:id="917329111">
      <w:bodyDiv w:val="1"/>
      <w:marLeft w:val="0"/>
      <w:marRight w:val="0"/>
      <w:marTop w:val="0"/>
      <w:marBottom w:val="0"/>
      <w:divBdr>
        <w:top w:val="none" w:sz="0" w:space="0" w:color="auto"/>
        <w:left w:val="none" w:sz="0" w:space="0" w:color="auto"/>
        <w:bottom w:val="none" w:sz="0" w:space="0" w:color="auto"/>
        <w:right w:val="none" w:sz="0" w:space="0" w:color="auto"/>
      </w:divBdr>
    </w:div>
    <w:div w:id="980234219">
      <w:bodyDiv w:val="1"/>
      <w:marLeft w:val="0"/>
      <w:marRight w:val="0"/>
      <w:marTop w:val="0"/>
      <w:marBottom w:val="0"/>
      <w:divBdr>
        <w:top w:val="none" w:sz="0" w:space="0" w:color="auto"/>
        <w:left w:val="none" w:sz="0" w:space="0" w:color="auto"/>
        <w:bottom w:val="none" w:sz="0" w:space="0" w:color="auto"/>
        <w:right w:val="none" w:sz="0" w:space="0" w:color="auto"/>
      </w:divBdr>
      <w:divsChild>
        <w:div w:id="1903323409">
          <w:marLeft w:val="0"/>
          <w:marRight w:val="0"/>
          <w:marTop w:val="0"/>
          <w:marBottom w:val="0"/>
          <w:divBdr>
            <w:top w:val="none" w:sz="0" w:space="0" w:color="auto"/>
            <w:left w:val="none" w:sz="0" w:space="0" w:color="auto"/>
            <w:bottom w:val="none" w:sz="0" w:space="0" w:color="auto"/>
            <w:right w:val="none" w:sz="0" w:space="0" w:color="auto"/>
          </w:divBdr>
          <w:divsChild>
            <w:div w:id="978000474">
              <w:marLeft w:val="0"/>
              <w:marRight w:val="0"/>
              <w:marTop w:val="0"/>
              <w:marBottom w:val="0"/>
              <w:divBdr>
                <w:top w:val="none" w:sz="0" w:space="0" w:color="auto"/>
                <w:left w:val="none" w:sz="0" w:space="0" w:color="auto"/>
                <w:bottom w:val="none" w:sz="0" w:space="0" w:color="auto"/>
                <w:right w:val="none" w:sz="0" w:space="0" w:color="auto"/>
              </w:divBdr>
            </w:div>
          </w:divsChild>
        </w:div>
        <w:div w:id="1866557405">
          <w:marLeft w:val="0"/>
          <w:marRight w:val="0"/>
          <w:marTop w:val="0"/>
          <w:marBottom w:val="0"/>
          <w:divBdr>
            <w:top w:val="none" w:sz="0" w:space="0" w:color="auto"/>
            <w:left w:val="none" w:sz="0" w:space="0" w:color="auto"/>
            <w:bottom w:val="none" w:sz="0" w:space="0" w:color="auto"/>
            <w:right w:val="none" w:sz="0" w:space="0" w:color="auto"/>
          </w:divBdr>
          <w:divsChild>
            <w:div w:id="18052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1957">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sChild>
        <w:div w:id="94912724">
          <w:marLeft w:val="0"/>
          <w:marRight w:val="0"/>
          <w:marTop w:val="0"/>
          <w:marBottom w:val="0"/>
          <w:divBdr>
            <w:top w:val="none" w:sz="0" w:space="0" w:color="auto"/>
            <w:left w:val="none" w:sz="0" w:space="0" w:color="auto"/>
            <w:bottom w:val="none" w:sz="0" w:space="0" w:color="auto"/>
            <w:right w:val="none" w:sz="0" w:space="0" w:color="auto"/>
          </w:divBdr>
          <w:divsChild>
            <w:div w:id="257641961">
              <w:marLeft w:val="0"/>
              <w:marRight w:val="0"/>
              <w:marTop w:val="0"/>
              <w:marBottom w:val="0"/>
              <w:divBdr>
                <w:top w:val="none" w:sz="0" w:space="0" w:color="auto"/>
                <w:left w:val="none" w:sz="0" w:space="0" w:color="auto"/>
                <w:bottom w:val="none" w:sz="0" w:space="0" w:color="auto"/>
                <w:right w:val="none" w:sz="0" w:space="0" w:color="auto"/>
              </w:divBdr>
            </w:div>
          </w:divsChild>
        </w:div>
        <w:div w:id="357313518">
          <w:marLeft w:val="0"/>
          <w:marRight w:val="0"/>
          <w:marTop w:val="0"/>
          <w:marBottom w:val="0"/>
          <w:divBdr>
            <w:top w:val="none" w:sz="0" w:space="0" w:color="auto"/>
            <w:left w:val="none" w:sz="0" w:space="0" w:color="auto"/>
            <w:bottom w:val="none" w:sz="0" w:space="0" w:color="auto"/>
            <w:right w:val="none" w:sz="0" w:space="0" w:color="auto"/>
          </w:divBdr>
          <w:divsChild>
            <w:div w:id="6834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0606">
      <w:bodyDiv w:val="1"/>
      <w:marLeft w:val="0"/>
      <w:marRight w:val="0"/>
      <w:marTop w:val="0"/>
      <w:marBottom w:val="0"/>
      <w:divBdr>
        <w:top w:val="none" w:sz="0" w:space="0" w:color="auto"/>
        <w:left w:val="none" w:sz="0" w:space="0" w:color="auto"/>
        <w:bottom w:val="none" w:sz="0" w:space="0" w:color="auto"/>
        <w:right w:val="none" w:sz="0" w:space="0" w:color="auto"/>
      </w:divBdr>
      <w:divsChild>
        <w:div w:id="311057525">
          <w:marLeft w:val="0"/>
          <w:marRight w:val="0"/>
          <w:marTop w:val="0"/>
          <w:marBottom w:val="0"/>
          <w:divBdr>
            <w:top w:val="none" w:sz="0" w:space="0" w:color="auto"/>
            <w:left w:val="none" w:sz="0" w:space="0" w:color="auto"/>
            <w:bottom w:val="none" w:sz="0" w:space="0" w:color="auto"/>
            <w:right w:val="none" w:sz="0" w:space="0" w:color="auto"/>
          </w:divBdr>
          <w:divsChild>
            <w:div w:id="1179928004">
              <w:marLeft w:val="0"/>
              <w:marRight w:val="0"/>
              <w:marTop w:val="0"/>
              <w:marBottom w:val="0"/>
              <w:divBdr>
                <w:top w:val="none" w:sz="0" w:space="0" w:color="auto"/>
                <w:left w:val="none" w:sz="0" w:space="0" w:color="auto"/>
                <w:bottom w:val="none" w:sz="0" w:space="0" w:color="auto"/>
                <w:right w:val="none" w:sz="0" w:space="0" w:color="auto"/>
              </w:divBdr>
            </w:div>
          </w:divsChild>
        </w:div>
        <w:div w:id="1846088141">
          <w:marLeft w:val="0"/>
          <w:marRight w:val="0"/>
          <w:marTop w:val="0"/>
          <w:marBottom w:val="0"/>
          <w:divBdr>
            <w:top w:val="none" w:sz="0" w:space="0" w:color="auto"/>
            <w:left w:val="none" w:sz="0" w:space="0" w:color="auto"/>
            <w:bottom w:val="none" w:sz="0" w:space="0" w:color="auto"/>
            <w:right w:val="none" w:sz="0" w:space="0" w:color="auto"/>
          </w:divBdr>
          <w:divsChild>
            <w:div w:id="479348073">
              <w:marLeft w:val="0"/>
              <w:marRight w:val="0"/>
              <w:marTop w:val="0"/>
              <w:marBottom w:val="0"/>
              <w:divBdr>
                <w:top w:val="none" w:sz="0" w:space="0" w:color="auto"/>
                <w:left w:val="none" w:sz="0" w:space="0" w:color="auto"/>
                <w:bottom w:val="none" w:sz="0" w:space="0" w:color="auto"/>
                <w:right w:val="none" w:sz="0" w:space="0" w:color="auto"/>
              </w:divBdr>
            </w:div>
          </w:divsChild>
        </w:div>
        <w:div w:id="51929754">
          <w:marLeft w:val="0"/>
          <w:marRight w:val="0"/>
          <w:marTop w:val="0"/>
          <w:marBottom w:val="0"/>
          <w:divBdr>
            <w:top w:val="none" w:sz="0" w:space="0" w:color="auto"/>
            <w:left w:val="none" w:sz="0" w:space="0" w:color="auto"/>
            <w:bottom w:val="none" w:sz="0" w:space="0" w:color="auto"/>
            <w:right w:val="none" w:sz="0" w:space="0" w:color="auto"/>
          </w:divBdr>
          <w:divsChild>
            <w:div w:id="72242382">
              <w:marLeft w:val="0"/>
              <w:marRight w:val="0"/>
              <w:marTop w:val="0"/>
              <w:marBottom w:val="0"/>
              <w:divBdr>
                <w:top w:val="none" w:sz="0" w:space="0" w:color="auto"/>
                <w:left w:val="none" w:sz="0" w:space="0" w:color="auto"/>
                <w:bottom w:val="none" w:sz="0" w:space="0" w:color="auto"/>
                <w:right w:val="none" w:sz="0" w:space="0" w:color="auto"/>
              </w:divBdr>
            </w:div>
          </w:divsChild>
        </w:div>
        <w:div w:id="560333293">
          <w:marLeft w:val="0"/>
          <w:marRight w:val="0"/>
          <w:marTop w:val="0"/>
          <w:marBottom w:val="0"/>
          <w:divBdr>
            <w:top w:val="none" w:sz="0" w:space="0" w:color="auto"/>
            <w:left w:val="none" w:sz="0" w:space="0" w:color="auto"/>
            <w:bottom w:val="none" w:sz="0" w:space="0" w:color="auto"/>
            <w:right w:val="none" w:sz="0" w:space="0" w:color="auto"/>
          </w:divBdr>
          <w:divsChild>
            <w:div w:id="1088773708">
              <w:marLeft w:val="0"/>
              <w:marRight w:val="0"/>
              <w:marTop w:val="0"/>
              <w:marBottom w:val="0"/>
              <w:divBdr>
                <w:top w:val="none" w:sz="0" w:space="0" w:color="auto"/>
                <w:left w:val="none" w:sz="0" w:space="0" w:color="auto"/>
                <w:bottom w:val="none" w:sz="0" w:space="0" w:color="auto"/>
                <w:right w:val="none" w:sz="0" w:space="0" w:color="auto"/>
              </w:divBdr>
            </w:div>
          </w:divsChild>
        </w:div>
        <w:div w:id="487939034">
          <w:marLeft w:val="0"/>
          <w:marRight w:val="0"/>
          <w:marTop w:val="0"/>
          <w:marBottom w:val="0"/>
          <w:divBdr>
            <w:top w:val="none" w:sz="0" w:space="0" w:color="auto"/>
            <w:left w:val="none" w:sz="0" w:space="0" w:color="auto"/>
            <w:bottom w:val="none" w:sz="0" w:space="0" w:color="auto"/>
            <w:right w:val="none" w:sz="0" w:space="0" w:color="auto"/>
          </w:divBdr>
          <w:divsChild>
            <w:div w:id="2061784451">
              <w:marLeft w:val="0"/>
              <w:marRight w:val="0"/>
              <w:marTop w:val="0"/>
              <w:marBottom w:val="0"/>
              <w:divBdr>
                <w:top w:val="none" w:sz="0" w:space="0" w:color="auto"/>
                <w:left w:val="none" w:sz="0" w:space="0" w:color="auto"/>
                <w:bottom w:val="none" w:sz="0" w:space="0" w:color="auto"/>
                <w:right w:val="none" w:sz="0" w:space="0" w:color="auto"/>
              </w:divBdr>
            </w:div>
          </w:divsChild>
        </w:div>
        <w:div w:id="516312630">
          <w:marLeft w:val="0"/>
          <w:marRight w:val="0"/>
          <w:marTop w:val="0"/>
          <w:marBottom w:val="0"/>
          <w:divBdr>
            <w:top w:val="none" w:sz="0" w:space="0" w:color="auto"/>
            <w:left w:val="none" w:sz="0" w:space="0" w:color="auto"/>
            <w:bottom w:val="none" w:sz="0" w:space="0" w:color="auto"/>
            <w:right w:val="none" w:sz="0" w:space="0" w:color="auto"/>
          </w:divBdr>
          <w:divsChild>
            <w:div w:id="1663504846">
              <w:marLeft w:val="0"/>
              <w:marRight w:val="0"/>
              <w:marTop w:val="0"/>
              <w:marBottom w:val="0"/>
              <w:divBdr>
                <w:top w:val="none" w:sz="0" w:space="0" w:color="auto"/>
                <w:left w:val="none" w:sz="0" w:space="0" w:color="auto"/>
                <w:bottom w:val="none" w:sz="0" w:space="0" w:color="auto"/>
                <w:right w:val="none" w:sz="0" w:space="0" w:color="auto"/>
              </w:divBdr>
            </w:div>
          </w:divsChild>
        </w:div>
        <w:div w:id="1013533150">
          <w:marLeft w:val="0"/>
          <w:marRight w:val="0"/>
          <w:marTop w:val="0"/>
          <w:marBottom w:val="0"/>
          <w:divBdr>
            <w:top w:val="none" w:sz="0" w:space="0" w:color="auto"/>
            <w:left w:val="none" w:sz="0" w:space="0" w:color="auto"/>
            <w:bottom w:val="none" w:sz="0" w:space="0" w:color="auto"/>
            <w:right w:val="none" w:sz="0" w:space="0" w:color="auto"/>
          </w:divBdr>
          <w:divsChild>
            <w:div w:id="3127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7717">
      <w:bodyDiv w:val="1"/>
      <w:marLeft w:val="0"/>
      <w:marRight w:val="0"/>
      <w:marTop w:val="0"/>
      <w:marBottom w:val="0"/>
      <w:divBdr>
        <w:top w:val="none" w:sz="0" w:space="0" w:color="auto"/>
        <w:left w:val="none" w:sz="0" w:space="0" w:color="auto"/>
        <w:bottom w:val="none" w:sz="0" w:space="0" w:color="auto"/>
        <w:right w:val="none" w:sz="0" w:space="0" w:color="auto"/>
      </w:divBdr>
      <w:divsChild>
        <w:div w:id="2081635744">
          <w:marLeft w:val="0"/>
          <w:marRight w:val="0"/>
          <w:marTop w:val="0"/>
          <w:marBottom w:val="0"/>
          <w:divBdr>
            <w:top w:val="none" w:sz="0" w:space="0" w:color="auto"/>
            <w:left w:val="none" w:sz="0" w:space="0" w:color="auto"/>
            <w:bottom w:val="none" w:sz="0" w:space="0" w:color="auto"/>
            <w:right w:val="none" w:sz="0" w:space="0" w:color="auto"/>
          </w:divBdr>
          <w:divsChild>
            <w:div w:id="2127187136">
              <w:marLeft w:val="0"/>
              <w:marRight w:val="0"/>
              <w:marTop w:val="0"/>
              <w:marBottom w:val="0"/>
              <w:divBdr>
                <w:top w:val="none" w:sz="0" w:space="0" w:color="auto"/>
                <w:left w:val="none" w:sz="0" w:space="0" w:color="auto"/>
                <w:bottom w:val="none" w:sz="0" w:space="0" w:color="auto"/>
                <w:right w:val="none" w:sz="0" w:space="0" w:color="auto"/>
              </w:divBdr>
            </w:div>
          </w:divsChild>
        </w:div>
        <w:div w:id="1076711587">
          <w:marLeft w:val="0"/>
          <w:marRight w:val="0"/>
          <w:marTop w:val="0"/>
          <w:marBottom w:val="0"/>
          <w:divBdr>
            <w:top w:val="none" w:sz="0" w:space="0" w:color="auto"/>
            <w:left w:val="none" w:sz="0" w:space="0" w:color="auto"/>
            <w:bottom w:val="none" w:sz="0" w:space="0" w:color="auto"/>
            <w:right w:val="none" w:sz="0" w:space="0" w:color="auto"/>
          </w:divBdr>
          <w:divsChild>
            <w:div w:id="800728462">
              <w:marLeft w:val="0"/>
              <w:marRight w:val="0"/>
              <w:marTop w:val="0"/>
              <w:marBottom w:val="0"/>
              <w:divBdr>
                <w:top w:val="none" w:sz="0" w:space="0" w:color="auto"/>
                <w:left w:val="none" w:sz="0" w:space="0" w:color="auto"/>
                <w:bottom w:val="none" w:sz="0" w:space="0" w:color="auto"/>
                <w:right w:val="none" w:sz="0" w:space="0" w:color="auto"/>
              </w:divBdr>
            </w:div>
          </w:divsChild>
        </w:div>
        <w:div w:id="1789008985">
          <w:marLeft w:val="0"/>
          <w:marRight w:val="0"/>
          <w:marTop w:val="0"/>
          <w:marBottom w:val="0"/>
          <w:divBdr>
            <w:top w:val="none" w:sz="0" w:space="0" w:color="auto"/>
            <w:left w:val="none" w:sz="0" w:space="0" w:color="auto"/>
            <w:bottom w:val="none" w:sz="0" w:space="0" w:color="auto"/>
            <w:right w:val="none" w:sz="0" w:space="0" w:color="auto"/>
          </w:divBdr>
          <w:divsChild>
            <w:div w:id="591355279">
              <w:marLeft w:val="0"/>
              <w:marRight w:val="0"/>
              <w:marTop w:val="0"/>
              <w:marBottom w:val="0"/>
              <w:divBdr>
                <w:top w:val="none" w:sz="0" w:space="0" w:color="auto"/>
                <w:left w:val="none" w:sz="0" w:space="0" w:color="auto"/>
                <w:bottom w:val="none" w:sz="0" w:space="0" w:color="auto"/>
                <w:right w:val="none" w:sz="0" w:space="0" w:color="auto"/>
              </w:divBdr>
            </w:div>
          </w:divsChild>
        </w:div>
        <w:div w:id="1654678005">
          <w:marLeft w:val="0"/>
          <w:marRight w:val="0"/>
          <w:marTop w:val="0"/>
          <w:marBottom w:val="0"/>
          <w:divBdr>
            <w:top w:val="none" w:sz="0" w:space="0" w:color="auto"/>
            <w:left w:val="none" w:sz="0" w:space="0" w:color="auto"/>
            <w:bottom w:val="none" w:sz="0" w:space="0" w:color="auto"/>
            <w:right w:val="none" w:sz="0" w:space="0" w:color="auto"/>
          </w:divBdr>
          <w:divsChild>
            <w:div w:id="297883103">
              <w:marLeft w:val="0"/>
              <w:marRight w:val="0"/>
              <w:marTop w:val="0"/>
              <w:marBottom w:val="0"/>
              <w:divBdr>
                <w:top w:val="none" w:sz="0" w:space="0" w:color="auto"/>
                <w:left w:val="none" w:sz="0" w:space="0" w:color="auto"/>
                <w:bottom w:val="none" w:sz="0" w:space="0" w:color="auto"/>
                <w:right w:val="none" w:sz="0" w:space="0" w:color="auto"/>
              </w:divBdr>
            </w:div>
          </w:divsChild>
        </w:div>
        <w:div w:id="867572496">
          <w:marLeft w:val="0"/>
          <w:marRight w:val="0"/>
          <w:marTop w:val="0"/>
          <w:marBottom w:val="0"/>
          <w:divBdr>
            <w:top w:val="none" w:sz="0" w:space="0" w:color="auto"/>
            <w:left w:val="none" w:sz="0" w:space="0" w:color="auto"/>
            <w:bottom w:val="none" w:sz="0" w:space="0" w:color="auto"/>
            <w:right w:val="none" w:sz="0" w:space="0" w:color="auto"/>
          </w:divBdr>
          <w:divsChild>
            <w:div w:id="451292051">
              <w:marLeft w:val="0"/>
              <w:marRight w:val="0"/>
              <w:marTop w:val="0"/>
              <w:marBottom w:val="0"/>
              <w:divBdr>
                <w:top w:val="none" w:sz="0" w:space="0" w:color="auto"/>
                <w:left w:val="none" w:sz="0" w:space="0" w:color="auto"/>
                <w:bottom w:val="none" w:sz="0" w:space="0" w:color="auto"/>
                <w:right w:val="none" w:sz="0" w:space="0" w:color="auto"/>
              </w:divBdr>
            </w:div>
          </w:divsChild>
        </w:div>
        <w:div w:id="555314296">
          <w:marLeft w:val="0"/>
          <w:marRight w:val="0"/>
          <w:marTop w:val="0"/>
          <w:marBottom w:val="0"/>
          <w:divBdr>
            <w:top w:val="none" w:sz="0" w:space="0" w:color="auto"/>
            <w:left w:val="none" w:sz="0" w:space="0" w:color="auto"/>
            <w:bottom w:val="none" w:sz="0" w:space="0" w:color="auto"/>
            <w:right w:val="none" w:sz="0" w:space="0" w:color="auto"/>
          </w:divBdr>
          <w:divsChild>
            <w:div w:id="1420054668">
              <w:marLeft w:val="0"/>
              <w:marRight w:val="0"/>
              <w:marTop w:val="0"/>
              <w:marBottom w:val="0"/>
              <w:divBdr>
                <w:top w:val="none" w:sz="0" w:space="0" w:color="auto"/>
                <w:left w:val="none" w:sz="0" w:space="0" w:color="auto"/>
                <w:bottom w:val="none" w:sz="0" w:space="0" w:color="auto"/>
                <w:right w:val="none" w:sz="0" w:space="0" w:color="auto"/>
              </w:divBdr>
            </w:div>
          </w:divsChild>
        </w:div>
        <w:div w:id="409235684">
          <w:marLeft w:val="0"/>
          <w:marRight w:val="0"/>
          <w:marTop w:val="0"/>
          <w:marBottom w:val="0"/>
          <w:divBdr>
            <w:top w:val="none" w:sz="0" w:space="0" w:color="auto"/>
            <w:left w:val="none" w:sz="0" w:space="0" w:color="auto"/>
            <w:bottom w:val="none" w:sz="0" w:space="0" w:color="auto"/>
            <w:right w:val="none" w:sz="0" w:space="0" w:color="auto"/>
          </w:divBdr>
          <w:divsChild>
            <w:div w:id="15982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9D01-0D28-4250-B181-8808590A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Andrea Valenzuela Hepp</dc:creator>
  <cp:lastModifiedBy>Matias Carreño Sepulveda</cp:lastModifiedBy>
  <cp:revision>4</cp:revision>
  <cp:lastPrinted>2018-08-02T15:02:00Z</cp:lastPrinted>
  <dcterms:created xsi:type="dcterms:W3CDTF">2019-07-04T16:55:00Z</dcterms:created>
  <dcterms:modified xsi:type="dcterms:W3CDTF">2019-07-08T18:43:00Z</dcterms:modified>
</cp:coreProperties>
</file>