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4ed94dd3ab7346c2"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3fd424d348147e0"/>
      <w:footerReference w:type="even" r:id="R020aedd0ba124cc6"/>
      <w:footerReference w:type="first" r:id="Re6b130ef8c824611"/>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091905549dd4ac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KETRUN RAYEN S.A. (PISC. KETRUN RAYEN)</w:t>
      </w:r>
    </w:p>
    <w:p>
      <w:pPr>
        <w:jc w:val="center"/>
      </w:pPr>
      <w:r>
        <w:rPr>
          <w:sz w:val="32"/>
          <w:szCs w:val="32"/>
          <w:b/>
        </w:rPr>
        <w:br/>
      </w:r>
      <w:r>
        <w:rPr>
          <w:sz w:val="32"/>
          <w:szCs w:val="32"/>
          <w:b/>
        </w:rPr>
        <w:t>DFZ-2016-5589-VIII-NE-EI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0a706ba03854671"/>
                        <a:stretch>
                          <a:fillRect/>
                        </a:stretch>
                      </pic:blipFill>
                      <pic:spPr>
                        <a:xfrm>
                          <a:off x="0" y="0"/>
                          <a:ext cx="1105016" cy="952600"/>
                        </a:xfrm>
                        <a:prstGeom prst="rect">
                          <a:avLst/>
                        </a:prstGeom>
                      </pic:spPr>
                    </pic:pic>
                  </a:graphicData>
                </a:graphic>
              </wp:inline>
            </drawing>
            <w:r>
              <w:rPr>
                <w:sz w:val="18"/>
                <w:szCs w:val="18"/>
              </w:rPr>
              <w:br/>
            </w:r>
            <w:r>
              <w:rPr>
                <w:sz w:val="18"/>
                <w:szCs w:val="18"/>
              </w:rPr>
              <w:t>31-12-2016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“KETRUN RAYEN S.A. (PISC. KETRUN RAYEN)”, en el marco de la norma de emisión DS.90/00 para el reporte del período correspondiente a FEBRERO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El volumen de descarga informado excede el valor límite indicado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KETRUN RAYEN S.A.</w:t>
            </w:r>
          </w:p>
        </w:tc>
        <w:tc>
          <w:tcPr>
            <w:tcW w:w="2310" w:type="pct"/>
            <w:gridSpan w:val="2"/>
          </w:tcPr>
          <w:p>
            <w:pPr/>
            <w:r>
              <w:rPr>
                <w:b/>
              </w:rPr>
              <w:t>RUT o RUN:</w:t>
            </w:r>
            <w:r>
              <w:br/>
            </w:r>
            <w:r>
              <w:t>76977030-5</w:t>
            </w:r>
          </w:p>
        </w:tc>
      </w:tr>
      <w:tr>
        <w:tc>
          <w:tcPr>
            <w:tcW w:w="2310" w:type="pct"/>
            <w:gridSpan w:val="4"/>
          </w:tcPr>
          <w:p>
            <w:pPr/>
            <w:r>
              <w:rPr>
                <w:b/>
              </w:rPr>
              <w:t>Identificación de la actividad, proyecto o fuente fiscalizada:</w:t>
            </w:r>
            <w:r>
              <w:br/>
            </w:r>
            <w:r>
              <w:t>KETRUN RAYEN S.A. (PISC. KETRUN RAYEN)</w:t>
            </w:r>
          </w:p>
        </w:tc>
      </w:tr>
      <w:tr>
        <w:tc>
          <w:tcPr>
            <w:tcW w:w="15000" w:type="dxa"/>
          </w:tcPr>
          <w:p>
            <w:pPr/>
            <w:r>
              <w:rPr>
                <w:b/>
              </w:rPr>
              <w:t>Dirección:</w:t>
            </w:r>
            <w:r>
              <w:br/>
            </w:r>
            <w:r>
              <w:t>SECTOR EL ALAMO, LOTE A-1, SECTOR PEDREGAL</w:t>
            </w:r>
          </w:p>
        </w:tc>
        <w:tc>
          <w:tcPr>
            <w:tcW w:w="15000" w:type="dxa"/>
          </w:tcPr>
          <w:p>
            <w:pPr/>
            <w:r>
              <w:rPr>
                <w:b/>
              </w:rPr>
              <w:t>Región:</w:t>
            </w:r>
            <w:r>
              <w:br/>
            </w:r>
            <w:r>
              <w:t>VIII REGIÓN DEL BIOBÍO</w:t>
            </w:r>
          </w:p>
        </w:tc>
        <w:tc>
          <w:tcPr>
            <w:tcW w:w="15000" w:type="dxa"/>
          </w:tcPr>
          <w:p>
            <w:pPr/>
            <w:r>
              <w:rPr>
                <w:b/>
              </w:rPr>
              <w:t>Provincia:</w:t>
            </w:r>
            <w:r>
              <w:br/>
            </w:r>
            <w:r>
              <w:t>BÍO-BÍO</w:t>
            </w:r>
          </w:p>
        </w:tc>
        <w:tc>
          <w:tcPr>
            <w:tcW w:w="15000" w:type="dxa"/>
          </w:tcPr>
          <w:p>
            <w:pPr/>
            <w:r>
              <w:rPr>
                <w:b/>
              </w:rPr>
              <w:t>Comuna:</w:t>
            </w:r>
            <w:r>
              <w:br/>
            </w:r>
            <w:r>
              <w:t>LOS ÁNGELES</w:t>
            </w:r>
          </w:p>
        </w:tc>
      </w:tr>
      <w:tr>
        <w:tc>
          <w:tcPr>
            <w:tcW w:w="2310" w:type="pct"/>
            <w:gridSpan w:val="2"/>
          </w:tcPr>
          <w:p>
            <w:pPr/>
            <w:r>
              <w:rPr>
                <w:b/>
              </w:rPr>
              <w:t>Correo electrónico:</w:t>
            </w:r>
            <w:r>
              <w:br/>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3268 de fecha 04-09-2009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CALIBORO)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FEBRERO</w:t>
            </w:r>
          </w:p>
        </w:tc>
        <w:tc>
          <w:tcPr>
            <w:tcW w:w="2310" w:type="auto"/>
          </w:tcPr>
          <w:p>
            <w:pPr/>
            <w:r>
              <w:rPr>
                <w:sz w:val="18"/>
                <w:szCs w:val="18"/>
              </w:rPr>
              <w:t>RIO CALIBORO - VIII REGION</w:t>
            </w:r>
          </w:p>
        </w:tc>
        <w:tc>
          <w:tcPr>
            <w:tcW w:w="2310" w:type="auto"/>
          </w:tcPr>
          <w:p>
            <w:pPr/>
            <w:r>
              <w:rPr>
                <w:sz w:val="18"/>
                <w:szCs w:val="18"/>
              </w:rPr>
              <w:t>13041</w:t>
            </w:r>
          </w:p>
        </w:tc>
        <w:tc>
          <w:tcPr>
            <w:tcW w:w="2310" w:type="auto"/>
          </w:tcPr>
          <w:p>
            <w:pPr/>
            <w:r>
              <w:rPr>
                <w:sz w:val="18"/>
                <w:szCs w:val="18"/>
              </w:rPr>
              <w:t>3268</w:t>
            </w:r>
          </w:p>
        </w:tc>
        <w:tc>
          <w:tcPr>
            <w:tcW w:w="2310" w:type="auto"/>
          </w:tcPr>
          <w:p>
            <w:pPr/>
            <w:r>
              <w:rPr>
                <w:sz w:val="18"/>
                <w:szCs w:val="18"/>
              </w:rPr>
              <w:t>04-09-2009</w:t>
            </w:r>
          </w:p>
        </w:tc>
        <w:tc>
          <w:tcPr>
            <w:tcW w:w="2310" w:type="auto"/>
          </w:tcPr>
          <w:p>
            <w:pPr/>
            <w:r>
              <w:rPr>
                <w:sz w:val="18"/>
                <w:szCs w:val="18"/>
              </w:rPr>
              <w:t>03-2011</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CALIBORO)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FEBRERO de 2016.</w:t>
            </w:r>
          </w:p>
        </w:tc>
      </w:tr>
      <w:tr>
        <w:tc>
          <w:tcPr>
            <w:tcW w:w="2310" w:type="auto"/>
          </w:tcPr>
          <w:p>
            <w:pPr>
              <w:jc w:val="center"/>
            </w:pPr>
            <w:r>
              <w:t>6</w:t>
            </w:r>
          </w:p>
        </w:tc>
        <w:tc>
          <w:tcPr>
            <w:tcW w:w="2310" w:type="auto"/>
          </w:tcPr>
          <w:p>
            <w:pPr/>
            <w:r>
              <w:t>Caudal bajo Resolución</w:t>
            </w:r>
          </w:p>
        </w:tc>
        <w:tc>
          <w:tcPr>
            <w:tcW w:w="2310" w:type="auto"/>
          </w:tcPr>
          <w:p>
            <w:pPr/>
            <w:r>
              <w:t>El establecimiento industrial excede el volumen de descarga límite indicado en su programa de monitoreo durante el período controlado de FEBRERO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CALIBORO)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47cba031b4f46d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a392ac00fc9e43af" /><Relationship Type="http://schemas.openxmlformats.org/officeDocument/2006/relationships/numbering" Target="/word/numbering.xml" Id="R653f0757caa9463b" /><Relationship Type="http://schemas.openxmlformats.org/officeDocument/2006/relationships/settings" Target="/word/settings.xml" Id="R59202fa0fb844618" /><Relationship Type="http://schemas.openxmlformats.org/officeDocument/2006/relationships/image" Target="/word/media/89f85f4a-a032-413b-b8e8-59272e64a28a.png" Id="Re091905549dd4ac0" /><Relationship Type="http://schemas.openxmlformats.org/officeDocument/2006/relationships/image" Target="/word/media/f19a7ce5-d6d8-4d67-9801-7bf20756b185.png" Id="R10a706ba03854671" /><Relationship Type="http://schemas.openxmlformats.org/officeDocument/2006/relationships/footer" Target="/word/footer1.xml" Id="R13fd424d348147e0" /><Relationship Type="http://schemas.openxmlformats.org/officeDocument/2006/relationships/footer" Target="/word/footer2.xml" Id="R020aedd0ba124cc6" /><Relationship Type="http://schemas.openxmlformats.org/officeDocument/2006/relationships/footer" Target="/word/footer3.xml" Id="Re6b130ef8c824611"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47cba031b4f46dc" /></Relationships>
</file>