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729f53eef314b0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a8d092bf7264582"/>
      <w:footerReference w:type="even" r:id="R3be96844d1d44048"/>
      <w:footerReference w:type="first" r:id="R39113ad15dbd455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77ba524d506439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Y COMERCIALIZADORA TUNICHE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DFZ-2014-2423-VI-NE-EI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bf0b9f2f4884d7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30-12-2014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Y COMERCIALIZADORA TUNICHE LTDA.”, en el marco de la norma de emisión DS.90/00 para el reporte del período correspondiente a ENERO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Y COMERCIALIZADORA TUNICHE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77639110-7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Y COMERCIALIZADORA TUNICHE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TUNICHE S/N, RANCAGUA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GLADYSFRP@HOTMAIL.COM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1949 de fecha 02-07-2010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AFLUENTE RIO CACHAPOAL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1949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02-07-2010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SAN RAFAEL - AFL. RIO CACHAPOAL)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d6ece985593247f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695dee614214a1e" /><Relationship Type="http://schemas.openxmlformats.org/officeDocument/2006/relationships/numbering" Target="/word/numbering.xml" Id="R9774b1646250463a" /><Relationship Type="http://schemas.openxmlformats.org/officeDocument/2006/relationships/settings" Target="/word/settings.xml" Id="R4ccfac5d8eab4559" /><Relationship Type="http://schemas.openxmlformats.org/officeDocument/2006/relationships/image" Target="/word/media/3efbc81c-c22a-4cfa-8747-b3e8395f75d6.png" Id="R277ba524d506439b" /><Relationship Type="http://schemas.openxmlformats.org/officeDocument/2006/relationships/image" Target="/word/media/1c9029af-5cb7-4898-a14c-af2fd2fd04f7.png" Id="R4bf0b9f2f4884d76" /><Relationship Type="http://schemas.openxmlformats.org/officeDocument/2006/relationships/footer" Target="/word/footer1.xml" Id="R3a8d092bf7264582" /><Relationship Type="http://schemas.openxmlformats.org/officeDocument/2006/relationships/footer" Target="/word/footer2.xml" Id="R3be96844d1d44048" /><Relationship Type="http://schemas.openxmlformats.org/officeDocument/2006/relationships/footer" Target="/word/footer3.xml" Id="R39113ad15dbd455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6ece985593247f0" /></Relationships>
</file>